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DEB2" w14:textId="77777777" w:rsidR="000B4D07" w:rsidRPr="00071F4C" w:rsidRDefault="000B4D07">
      <w:pPr>
        <w:jc w:val="both"/>
        <w:rPr>
          <w:rFonts w:ascii="Calibri" w:hAnsi="Calibri"/>
        </w:rPr>
      </w:pPr>
    </w:p>
    <w:p w14:paraId="18052B62" w14:textId="77777777" w:rsidR="000B4D07" w:rsidRPr="00071F4C" w:rsidRDefault="000B4D07">
      <w:pPr>
        <w:jc w:val="both"/>
        <w:rPr>
          <w:rFonts w:ascii="Calibri" w:hAnsi="Calibri"/>
        </w:rPr>
      </w:pPr>
    </w:p>
    <w:p w14:paraId="195E047A" w14:textId="77777777" w:rsidR="000B4D07" w:rsidRPr="00071F4C" w:rsidRDefault="000B4D07">
      <w:pPr>
        <w:jc w:val="both"/>
        <w:rPr>
          <w:rFonts w:ascii="Calibri" w:hAnsi="Calibri"/>
        </w:rPr>
      </w:pPr>
    </w:p>
    <w:p w14:paraId="46DE86CD" w14:textId="77777777" w:rsidR="000B4D07" w:rsidRPr="00071F4C" w:rsidRDefault="000B4D07">
      <w:pPr>
        <w:jc w:val="both"/>
        <w:rPr>
          <w:rFonts w:ascii="Calibri" w:hAnsi="Calibri"/>
        </w:rPr>
      </w:pPr>
    </w:p>
    <w:p w14:paraId="61E62F14" w14:textId="77777777" w:rsidR="000B4D07" w:rsidRPr="00071F4C" w:rsidRDefault="000B4D07">
      <w:pPr>
        <w:jc w:val="both"/>
        <w:rPr>
          <w:rFonts w:ascii="Calibri" w:hAnsi="Calibri"/>
        </w:rPr>
      </w:pPr>
    </w:p>
    <w:p w14:paraId="56A8EC7A" w14:textId="77777777" w:rsidR="000B4D07" w:rsidRPr="00071F4C" w:rsidRDefault="000B4D07">
      <w:pPr>
        <w:jc w:val="both"/>
        <w:rPr>
          <w:rFonts w:ascii="Calibri" w:hAnsi="Calibri"/>
        </w:rPr>
      </w:pPr>
    </w:p>
    <w:p w14:paraId="2984F8D6" w14:textId="77777777" w:rsidR="000B4D07" w:rsidRPr="00071F4C" w:rsidRDefault="000B4D07">
      <w:pPr>
        <w:jc w:val="both"/>
        <w:rPr>
          <w:rFonts w:ascii="Calibri" w:hAnsi="Calibri"/>
        </w:rPr>
      </w:pPr>
    </w:p>
    <w:p w14:paraId="6D4AEE86" w14:textId="77777777" w:rsidR="000B4D07" w:rsidRPr="00071F4C" w:rsidRDefault="000B4D07">
      <w:pPr>
        <w:jc w:val="both"/>
        <w:rPr>
          <w:rFonts w:ascii="Calibri" w:hAnsi="Calibri"/>
        </w:rPr>
      </w:pPr>
    </w:p>
    <w:p w14:paraId="6EAD8124" w14:textId="77777777" w:rsidR="000B4D07" w:rsidRPr="00B86271" w:rsidRDefault="00966F71" w:rsidP="0026504F">
      <w:pPr>
        <w:rPr>
          <w:rFonts w:ascii="Calibri" w:hAnsi="Calibri" w:cs="Arial"/>
          <w:b/>
          <w:bCs/>
          <w:color w:val="0070C0"/>
          <w:sz w:val="36"/>
          <w:szCs w:val="36"/>
        </w:rPr>
      </w:pPr>
      <w:r w:rsidRPr="0026504F">
        <w:rPr>
          <w:rFonts w:ascii="Calibri" w:hAnsi="Calibri" w:cs="Arial"/>
          <w:b/>
          <w:sz w:val="36"/>
          <w:szCs w:val="36"/>
        </w:rPr>
        <w:t>ACQUISIZIONE</w:t>
      </w:r>
      <w:r w:rsidR="00AA6A36" w:rsidRPr="0026504F">
        <w:rPr>
          <w:rFonts w:ascii="Calibri" w:hAnsi="Calibri" w:cs="Arial"/>
          <w:b/>
          <w:bCs/>
          <w:sz w:val="36"/>
          <w:szCs w:val="36"/>
        </w:rPr>
        <w:t xml:space="preserve"> D</w:t>
      </w:r>
      <w:r w:rsidR="00AA09E0" w:rsidRPr="0026504F">
        <w:rPr>
          <w:rFonts w:ascii="Calibri" w:hAnsi="Calibri" w:cs="Arial"/>
          <w:b/>
          <w:bCs/>
          <w:sz w:val="36"/>
          <w:szCs w:val="36"/>
        </w:rPr>
        <w:t>I</w:t>
      </w:r>
      <w:r w:rsidR="00420A6A">
        <w:rPr>
          <w:rFonts w:ascii="Calibri" w:hAnsi="Calibri" w:cs="Arial"/>
          <w:b/>
          <w:bCs/>
          <w:sz w:val="36"/>
          <w:szCs w:val="36"/>
        </w:rPr>
        <w:t xml:space="preserve"> </w:t>
      </w:r>
      <w:r w:rsidR="00420A6A" w:rsidRPr="00420A6A">
        <w:rPr>
          <w:rFonts w:ascii="Calibri" w:hAnsi="Calibri" w:cs="Arial"/>
          <w:b/>
          <w:bCs/>
          <w:sz w:val="36"/>
          <w:szCs w:val="36"/>
        </w:rPr>
        <w:t>SERVIZI CLOUD ORACLE E DEL RELATIVO SUPPORTO SPECIALISTICO PER SOGEI E LE AGENZIE</w:t>
      </w:r>
      <w:r w:rsidR="00420A6A">
        <w:rPr>
          <w:rFonts w:ascii="Calibri" w:hAnsi="Calibri" w:cs="Arial"/>
          <w:b/>
          <w:bCs/>
          <w:sz w:val="36"/>
          <w:szCs w:val="36"/>
        </w:rPr>
        <w:t xml:space="preserve"> DELLA FISCALITA’</w:t>
      </w:r>
    </w:p>
    <w:p w14:paraId="114022AA" w14:textId="77777777" w:rsidR="000954CC" w:rsidRPr="0026504F" w:rsidRDefault="000954CC" w:rsidP="0026504F">
      <w:pPr>
        <w:rPr>
          <w:rFonts w:ascii="Calibri" w:hAnsi="Calibri" w:cs="Arial"/>
          <w:b/>
          <w:bCs/>
        </w:rPr>
      </w:pPr>
    </w:p>
    <w:p w14:paraId="647E8C7A" w14:textId="77777777" w:rsidR="000954CC" w:rsidRPr="0026504F" w:rsidRDefault="000954CC" w:rsidP="0026504F">
      <w:pPr>
        <w:rPr>
          <w:rFonts w:ascii="Calibri" w:hAnsi="Calibri" w:cs="Arial"/>
          <w:b/>
          <w:bCs/>
        </w:rPr>
      </w:pPr>
    </w:p>
    <w:p w14:paraId="65E0116A" w14:textId="77777777" w:rsidR="000954CC" w:rsidRPr="0026504F" w:rsidRDefault="000954CC" w:rsidP="0026504F">
      <w:pPr>
        <w:rPr>
          <w:rFonts w:ascii="Calibri" w:hAnsi="Calibri" w:cs="Arial"/>
          <w:b/>
          <w:bCs/>
        </w:rPr>
      </w:pPr>
    </w:p>
    <w:p w14:paraId="6008FB54" w14:textId="77777777" w:rsidR="000954CC" w:rsidRPr="0026504F" w:rsidRDefault="000954CC" w:rsidP="0026504F">
      <w:pPr>
        <w:rPr>
          <w:rFonts w:ascii="Calibri" w:hAnsi="Calibri" w:cs="Arial"/>
          <w:b/>
          <w:bCs/>
        </w:rPr>
      </w:pPr>
    </w:p>
    <w:p w14:paraId="539EADF7" w14:textId="77777777" w:rsidR="000954CC" w:rsidRPr="0026504F" w:rsidRDefault="000954CC" w:rsidP="0026504F">
      <w:pPr>
        <w:rPr>
          <w:rFonts w:ascii="Calibri" w:hAnsi="Calibri" w:cs="Arial"/>
          <w:b/>
          <w:bCs/>
        </w:rPr>
      </w:pPr>
    </w:p>
    <w:p w14:paraId="0984BE84" w14:textId="77777777" w:rsidR="000B4D07" w:rsidRPr="000954CC" w:rsidRDefault="000B4D07">
      <w:pPr>
        <w:jc w:val="both"/>
        <w:rPr>
          <w:rFonts w:ascii="Calibri" w:hAnsi="Calibri"/>
        </w:rPr>
      </w:pPr>
    </w:p>
    <w:p w14:paraId="448D8301" w14:textId="77777777" w:rsidR="000B4D07" w:rsidRPr="000954CC" w:rsidRDefault="000B4D07">
      <w:pPr>
        <w:jc w:val="both"/>
        <w:rPr>
          <w:rFonts w:ascii="Calibri" w:hAnsi="Calibri"/>
        </w:rPr>
      </w:pPr>
    </w:p>
    <w:p w14:paraId="03E787EC" w14:textId="77777777" w:rsidR="000B4D07" w:rsidRPr="000954CC" w:rsidRDefault="000B4D07">
      <w:pPr>
        <w:jc w:val="both"/>
        <w:rPr>
          <w:rFonts w:ascii="Calibri" w:hAnsi="Calibri"/>
        </w:rPr>
      </w:pPr>
    </w:p>
    <w:p w14:paraId="645611F1" w14:textId="77777777" w:rsidR="000B4D07" w:rsidRPr="0026504F" w:rsidRDefault="000B4D07">
      <w:pPr>
        <w:pStyle w:val="Titolo4"/>
        <w:jc w:val="left"/>
        <w:rPr>
          <w:rFonts w:ascii="Calibri" w:hAnsi="Calibri" w:cs="Arial"/>
        </w:rPr>
      </w:pPr>
    </w:p>
    <w:p w14:paraId="54FB4701"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46DFE640" w14:textId="77777777" w:rsidR="000B4D07" w:rsidRPr="00071F4C" w:rsidRDefault="000B4D07">
      <w:pPr>
        <w:jc w:val="both"/>
        <w:rPr>
          <w:rFonts w:ascii="Calibri" w:hAnsi="Calibri"/>
          <w:sz w:val="20"/>
          <w:szCs w:val="20"/>
        </w:rPr>
      </w:pPr>
    </w:p>
    <w:p w14:paraId="16910CE1" w14:textId="77777777" w:rsidR="000B4D07" w:rsidRPr="00071F4C" w:rsidRDefault="000B4D07">
      <w:pPr>
        <w:spacing w:line="360" w:lineRule="auto"/>
        <w:rPr>
          <w:rFonts w:ascii="Calibri" w:hAnsi="Calibri" w:cs="Arial"/>
          <w:sz w:val="20"/>
          <w:szCs w:val="20"/>
        </w:rPr>
      </w:pPr>
    </w:p>
    <w:p w14:paraId="55A7CF3B" w14:textId="77777777" w:rsidR="000B4D07" w:rsidRDefault="000B4D07">
      <w:pPr>
        <w:spacing w:line="360" w:lineRule="auto"/>
        <w:rPr>
          <w:rFonts w:ascii="Calibri" w:hAnsi="Calibri" w:cs="Arial"/>
          <w:sz w:val="20"/>
          <w:szCs w:val="20"/>
        </w:rPr>
      </w:pPr>
    </w:p>
    <w:p w14:paraId="21C5ECD1" w14:textId="77777777" w:rsidR="000954CC" w:rsidRDefault="000954CC">
      <w:pPr>
        <w:spacing w:line="360" w:lineRule="auto"/>
        <w:rPr>
          <w:rFonts w:ascii="Calibri" w:hAnsi="Calibri" w:cs="Arial"/>
          <w:sz w:val="20"/>
          <w:szCs w:val="20"/>
        </w:rPr>
      </w:pPr>
    </w:p>
    <w:p w14:paraId="411AD45C" w14:textId="77777777" w:rsidR="000954CC" w:rsidRDefault="000954CC">
      <w:pPr>
        <w:spacing w:line="360" w:lineRule="auto"/>
        <w:rPr>
          <w:rFonts w:ascii="Calibri" w:hAnsi="Calibri" w:cs="Arial"/>
          <w:sz w:val="20"/>
          <w:szCs w:val="20"/>
        </w:rPr>
      </w:pPr>
    </w:p>
    <w:p w14:paraId="3D519D5F" w14:textId="77777777" w:rsidR="000B4D07" w:rsidRPr="00071F4C" w:rsidRDefault="000B4D07">
      <w:pPr>
        <w:pStyle w:val="Titolo4"/>
        <w:jc w:val="left"/>
        <w:rPr>
          <w:rFonts w:ascii="Calibri" w:hAnsi="Calibri" w:cs="Arial"/>
          <w:sz w:val="20"/>
          <w:szCs w:val="20"/>
        </w:rPr>
      </w:pPr>
    </w:p>
    <w:p w14:paraId="7F0F1814" w14:textId="77777777" w:rsidR="000B4D07" w:rsidRDefault="000B4D07">
      <w:pPr>
        <w:pStyle w:val="Titolo4"/>
        <w:jc w:val="left"/>
        <w:rPr>
          <w:rFonts w:ascii="Calibri" w:hAnsi="Calibri" w:cs="Arial"/>
          <w:sz w:val="20"/>
          <w:szCs w:val="20"/>
        </w:rPr>
      </w:pPr>
    </w:p>
    <w:p w14:paraId="011BBDEA" w14:textId="77777777" w:rsidR="000954CC" w:rsidRPr="000954CC" w:rsidRDefault="000954CC" w:rsidP="00402B52"/>
    <w:p w14:paraId="20517D39"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13DA48F" w14:textId="77777777" w:rsidR="000954CC" w:rsidRDefault="000954CC" w:rsidP="00402B52">
      <w:pPr>
        <w:spacing w:line="276" w:lineRule="auto"/>
        <w:jc w:val="both"/>
        <w:rPr>
          <w:rFonts w:asciiTheme="minorHAnsi" w:hAnsiTheme="minorHAnsi" w:cs="Arial"/>
          <w:bCs/>
          <w:sz w:val="20"/>
          <w:szCs w:val="20"/>
        </w:rPr>
      </w:pPr>
    </w:p>
    <w:p w14:paraId="64DEF7C6" w14:textId="77777777" w:rsidR="00420A6A" w:rsidRPr="002E5B4B" w:rsidRDefault="00130FD6" w:rsidP="00420A6A">
      <w:pPr>
        <w:spacing w:line="276" w:lineRule="auto"/>
        <w:jc w:val="both"/>
        <w:rPr>
          <w:rFonts w:asciiTheme="minorHAnsi" w:hAnsiTheme="minorHAnsi"/>
          <w:sz w:val="20"/>
          <w:szCs w:val="20"/>
          <w:lang w:val="en-US"/>
        </w:rPr>
      </w:pPr>
      <w:hyperlink r:id="rId8" w:history="1">
        <w:r w:rsidR="00420A6A" w:rsidRPr="002E5B4B">
          <w:rPr>
            <w:rStyle w:val="Collegamentoipertestuale"/>
            <w:rFonts w:asciiTheme="minorHAnsi" w:hAnsiTheme="minorHAnsi"/>
            <w:sz w:val="20"/>
            <w:szCs w:val="20"/>
            <w:lang w:val="en-US"/>
          </w:rPr>
          <w:t>ictconsip@postacert.consip.it</w:t>
        </w:r>
      </w:hyperlink>
    </w:p>
    <w:p w14:paraId="58D445DD" w14:textId="77777777" w:rsidR="000954CC" w:rsidRPr="002C3BE2" w:rsidRDefault="000954CC" w:rsidP="00402B52">
      <w:pPr>
        <w:spacing w:line="276" w:lineRule="auto"/>
        <w:jc w:val="both"/>
        <w:rPr>
          <w:rFonts w:asciiTheme="minorHAnsi" w:hAnsiTheme="minorHAnsi" w:cs="Arial"/>
          <w:b/>
          <w:bCs/>
          <w:sz w:val="20"/>
          <w:szCs w:val="20"/>
          <w:lang w:val="en-US"/>
        </w:rPr>
      </w:pPr>
    </w:p>
    <w:p w14:paraId="62890E71" w14:textId="77777777" w:rsidR="00B362F5" w:rsidRPr="002C3BE2" w:rsidRDefault="00B362F5" w:rsidP="00402B52">
      <w:pPr>
        <w:spacing w:line="276" w:lineRule="auto"/>
        <w:jc w:val="both"/>
        <w:rPr>
          <w:rFonts w:asciiTheme="minorHAnsi" w:hAnsiTheme="minorHAnsi" w:cs="Arial"/>
          <w:bCs/>
          <w:color w:val="FF0000"/>
          <w:sz w:val="20"/>
          <w:szCs w:val="20"/>
          <w:lang w:val="en-US"/>
        </w:rPr>
      </w:pPr>
    </w:p>
    <w:p w14:paraId="3EFBF91D" w14:textId="77777777" w:rsidR="00B362F5" w:rsidRPr="002C3BE2" w:rsidRDefault="00B362F5" w:rsidP="00402B52">
      <w:pPr>
        <w:spacing w:line="276" w:lineRule="auto"/>
        <w:jc w:val="both"/>
        <w:rPr>
          <w:rFonts w:asciiTheme="minorHAnsi" w:hAnsiTheme="minorHAnsi" w:cs="Arial"/>
          <w:bCs/>
          <w:color w:val="FF0000"/>
          <w:sz w:val="20"/>
          <w:szCs w:val="20"/>
          <w:lang w:val="en-US"/>
        </w:rPr>
      </w:pPr>
    </w:p>
    <w:p w14:paraId="6390B53C" w14:textId="77777777" w:rsidR="00B362F5" w:rsidRPr="002C3BE2" w:rsidRDefault="00B362F5" w:rsidP="00402B52">
      <w:pPr>
        <w:spacing w:line="276" w:lineRule="auto"/>
        <w:jc w:val="both"/>
        <w:rPr>
          <w:rFonts w:asciiTheme="minorHAnsi" w:hAnsiTheme="minorHAnsi" w:cs="Arial"/>
          <w:bCs/>
          <w:color w:val="FF0000"/>
          <w:sz w:val="20"/>
          <w:szCs w:val="20"/>
          <w:lang w:val="en-US"/>
        </w:rPr>
      </w:pPr>
    </w:p>
    <w:p w14:paraId="4185A79F" w14:textId="77777777" w:rsidR="00B362F5" w:rsidRPr="00427406" w:rsidRDefault="00B362F5" w:rsidP="00402B52">
      <w:pPr>
        <w:spacing w:line="276" w:lineRule="auto"/>
        <w:jc w:val="both"/>
        <w:rPr>
          <w:rFonts w:asciiTheme="minorHAnsi" w:hAnsiTheme="minorHAnsi" w:cs="Arial"/>
          <w:bCs/>
          <w:sz w:val="20"/>
          <w:szCs w:val="20"/>
          <w:lang w:val="en-US"/>
        </w:rPr>
      </w:pPr>
    </w:p>
    <w:p w14:paraId="3F7C5D06" w14:textId="76870805" w:rsidR="00B362F5" w:rsidRPr="00427406" w:rsidRDefault="00B362F5" w:rsidP="00402B52">
      <w:pPr>
        <w:spacing w:line="276" w:lineRule="auto"/>
        <w:jc w:val="both"/>
        <w:rPr>
          <w:rFonts w:asciiTheme="minorHAnsi" w:hAnsiTheme="minorHAnsi" w:cs="Arial"/>
          <w:bCs/>
          <w:sz w:val="20"/>
          <w:szCs w:val="20"/>
          <w:lang w:val="en-US"/>
        </w:rPr>
      </w:pPr>
      <w:r w:rsidRPr="002C3BE2">
        <w:rPr>
          <w:rFonts w:asciiTheme="minorHAnsi" w:hAnsiTheme="minorHAnsi" w:cs="Arial"/>
          <w:bCs/>
          <w:sz w:val="20"/>
          <w:szCs w:val="20"/>
          <w:lang w:val="en-US"/>
        </w:rPr>
        <w:t xml:space="preserve">Roma, </w:t>
      </w:r>
      <w:r w:rsidR="002555D0" w:rsidRPr="00427406">
        <w:rPr>
          <w:rFonts w:asciiTheme="minorHAnsi" w:hAnsiTheme="minorHAnsi" w:cs="Arial"/>
          <w:bCs/>
          <w:sz w:val="20"/>
          <w:szCs w:val="20"/>
          <w:lang w:val="en-US"/>
        </w:rPr>
        <w:t>1</w:t>
      </w:r>
      <w:r w:rsidR="002555D0">
        <w:rPr>
          <w:rFonts w:asciiTheme="minorHAnsi" w:hAnsiTheme="minorHAnsi" w:cs="Arial"/>
          <w:bCs/>
          <w:sz w:val="20"/>
          <w:szCs w:val="20"/>
          <w:lang w:val="en-US"/>
        </w:rPr>
        <w:t>2</w:t>
      </w:r>
      <w:r w:rsidR="00427406" w:rsidRPr="00427406">
        <w:rPr>
          <w:rFonts w:asciiTheme="minorHAnsi" w:hAnsiTheme="minorHAnsi" w:cs="Arial"/>
          <w:bCs/>
          <w:sz w:val="20"/>
          <w:szCs w:val="20"/>
          <w:lang w:val="en-US"/>
        </w:rPr>
        <w:t>/02/2020</w:t>
      </w:r>
    </w:p>
    <w:p w14:paraId="210975FD" w14:textId="77777777" w:rsidR="000B4D07" w:rsidRPr="002C3BE2" w:rsidRDefault="000B4D07">
      <w:pPr>
        <w:pStyle w:val="Corpotesto"/>
        <w:jc w:val="left"/>
        <w:rPr>
          <w:rFonts w:ascii="Calibri" w:hAnsi="Calibri"/>
          <w:sz w:val="20"/>
          <w:lang w:val="en-US"/>
        </w:rPr>
      </w:pPr>
      <w:r w:rsidRPr="002C3BE2">
        <w:rPr>
          <w:rFonts w:ascii="Calibri" w:hAnsi="Calibri"/>
          <w:sz w:val="20"/>
          <w:lang w:val="en-US"/>
        </w:rPr>
        <w:br w:type="page"/>
      </w:r>
    </w:p>
    <w:p w14:paraId="03003757"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3A57C292" w14:textId="77777777"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 xml:space="preserve">La presente consultazione di mercato è relativa all’acquisizione di </w:t>
      </w:r>
      <w:r w:rsidR="00420A6A" w:rsidRPr="00420A6A">
        <w:rPr>
          <w:rFonts w:asciiTheme="minorHAnsi" w:hAnsiTheme="minorHAnsi" w:cs="Arial"/>
          <w:sz w:val="20"/>
          <w:szCs w:val="20"/>
        </w:rPr>
        <w:t xml:space="preserve">servizi </w:t>
      </w:r>
      <w:proofErr w:type="spellStart"/>
      <w:r w:rsidR="00420A6A" w:rsidRPr="00420A6A">
        <w:rPr>
          <w:rFonts w:asciiTheme="minorHAnsi" w:hAnsiTheme="minorHAnsi" w:cs="Arial"/>
          <w:sz w:val="20"/>
          <w:szCs w:val="20"/>
        </w:rPr>
        <w:t>cloud</w:t>
      </w:r>
      <w:proofErr w:type="spellEnd"/>
      <w:r w:rsidR="00420A6A" w:rsidRPr="00420A6A">
        <w:rPr>
          <w:rFonts w:asciiTheme="minorHAnsi" w:hAnsiTheme="minorHAnsi" w:cs="Arial"/>
          <w:sz w:val="20"/>
          <w:szCs w:val="20"/>
        </w:rPr>
        <w:t xml:space="preserve"> Oracle e del relativo supporto specialistico per </w:t>
      </w:r>
      <w:proofErr w:type="spellStart"/>
      <w:r w:rsidR="00420A6A" w:rsidRPr="00420A6A">
        <w:rPr>
          <w:rFonts w:asciiTheme="minorHAnsi" w:hAnsiTheme="minorHAnsi" w:cs="Arial"/>
          <w:sz w:val="20"/>
          <w:szCs w:val="20"/>
        </w:rPr>
        <w:t>Sogei</w:t>
      </w:r>
      <w:proofErr w:type="spellEnd"/>
      <w:r w:rsidR="00420A6A" w:rsidRPr="00420A6A">
        <w:rPr>
          <w:rFonts w:asciiTheme="minorHAnsi" w:hAnsiTheme="minorHAnsi" w:cs="Arial"/>
          <w:sz w:val="20"/>
          <w:szCs w:val="20"/>
        </w:rPr>
        <w:t xml:space="preserve"> e le Agenzie</w:t>
      </w:r>
      <w:r w:rsidR="00420A6A">
        <w:rPr>
          <w:rFonts w:asciiTheme="minorHAnsi" w:hAnsiTheme="minorHAnsi" w:cs="Arial"/>
          <w:sz w:val="20"/>
          <w:szCs w:val="20"/>
        </w:rPr>
        <w:t xml:space="preserve"> della Fiscalità.</w:t>
      </w:r>
    </w:p>
    <w:p w14:paraId="53D03D32" w14:textId="77777777"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76C8960E"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083190B3"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7088CF02"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4B7A7178"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335FD83E"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7EF79F95"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7CB207E5" w14:textId="77777777" w:rsidR="000B4D07" w:rsidRPr="0011099A" w:rsidRDefault="000B4D07" w:rsidP="0077786E">
      <w:pPr>
        <w:spacing w:before="120" w:after="120" w:line="276"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26504F" w:rsidRPr="007F3E0A">
          <w:rPr>
            <w:rStyle w:val="Collegamentoipertestuale"/>
            <w:rFonts w:asciiTheme="minorHAnsi" w:hAnsiTheme="minorHAnsi"/>
          </w:rPr>
          <w:softHyphen/>
        </w:r>
        <w:r w:rsidR="0026504F" w:rsidRPr="007F3E0A">
          <w:rPr>
            <w:rStyle w:val="Collegamentoipertestuale"/>
            <w:rFonts w:asciiTheme="minorHAnsi" w:hAnsiTheme="minorHAnsi"/>
          </w:rPr>
          <w:softHyphen/>
        </w:r>
        <w:r w:rsidR="0026504F" w:rsidRPr="007F3E0A">
          <w:rPr>
            <w:rStyle w:val="Collegamentoipertestuale"/>
            <w:rFonts w:asciiTheme="minorHAnsi" w:hAnsiTheme="minorHAnsi"/>
          </w:rPr>
          <w:softHyphen/>
        </w:r>
        <w:r w:rsidR="00420A6A" w:rsidRPr="00420A6A">
          <w:rPr>
            <w:rStyle w:val="Collegamentoipertestuale"/>
            <w:rFonts w:asciiTheme="minorHAnsi" w:hAnsiTheme="minorHAnsi"/>
            <w:sz w:val="20"/>
            <w:szCs w:val="20"/>
          </w:rPr>
          <w:t>ictconsip@postacert.consip.it</w:t>
        </w:r>
      </w:hyperlink>
      <w:r w:rsidR="0026504F" w:rsidRPr="00F8539B">
        <w:rPr>
          <w:rFonts w:asciiTheme="minorHAnsi" w:hAnsiTheme="minorHAnsi" w:cs="Arial"/>
          <w:bCs/>
          <w:sz w:val="20"/>
          <w:szCs w:val="20"/>
        </w:rPr>
        <w:t xml:space="preserve"> </w:t>
      </w:r>
      <w:r w:rsidR="009D2FBF" w:rsidRPr="00420A6A">
        <w:rPr>
          <w:rFonts w:asciiTheme="minorHAnsi" w:hAnsiTheme="minorHAnsi" w:cs="Arial"/>
          <w:bCs/>
          <w:sz w:val="20"/>
          <w:szCs w:val="20"/>
        </w:rPr>
        <w:t>specifi</w:t>
      </w:r>
      <w:r w:rsidR="009D2FBF" w:rsidRPr="00420A6A">
        <w:rPr>
          <w:rFonts w:ascii="Calibri" w:hAnsi="Calibri" w:cs="Arial"/>
          <w:sz w:val="20"/>
          <w:szCs w:val="20"/>
        </w:rPr>
        <w:t>cando nell’</w:t>
      </w:r>
      <w:r w:rsidR="002B08C5" w:rsidRPr="00420A6A">
        <w:rPr>
          <w:rFonts w:ascii="Calibri" w:hAnsi="Calibri" w:cs="Arial"/>
          <w:sz w:val="20"/>
          <w:szCs w:val="20"/>
        </w:rPr>
        <w:t xml:space="preserve">oggetto della e-mail: </w:t>
      </w:r>
      <w:r w:rsidR="00420A6A" w:rsidRPr="00420A6A">
        <w:rPr>
          <w:rFonts w:ascii="Calibri" w:hAnsi="Calibri" w:cs="Arial"/>
          <w:sz w:val="20"/>
          <w:szCs w:val="20"/>
        </w:rPr>
        <w:t xml:space="preserve">“Acquisizione di servizi </w:t>
      </w:r>
      <w:proofErr w:type="spellStart"/>
      <w:r w:rsidR="00420A6A" w:rsidRPr="00420A6A">
        <w:rPr>
          <w:rFonts w:ascii="Calibri" w:hAnsi="Calibri" w:cs="Arial"/>
          <w:sz w:val="20"/>
          <w:szCs w:val="20"/>
        </w:rPr>
        <w:t>cloud</w:t>
      </w:r>
      <w:proofErr w:type="spellEnd"/>
      <w:r w:rsidR="00420A6A" w:rsidRPr="00420A6A">
        <w:rPr>
          <w:rFonts w:ascii="Calibri" w:hAnsi="Calibri" w:cs="Arial"/>
          <w:sz w:val="20"/>
          <w:szCs w:val="20"/>
        </w:rPr>
        <w:t xml:space="preserve"> Oracle e del relativo supporto specialistico per </w:t>
      </w:r>
      <w:proofErr w:type="spellStart"/>
      <w:r w:rsidR="00420A6A" w:rsidRPr="00420A6A">
        <w:rPr>
          <w:rFonts w:ascii="Calibri" w:hAnsi="Calibri" w:cs="Arial"/>
          <w:sz w:val="20"/>
          <w:szCs w:val="20"/>
        </w:rPr>
        <w:t>Sogei</w:t>
      </w:r>
      <w:proofErr w:type="spellEnd"/>
      <w:r w:rsidR="00420A6A" w:rsidRPr="00420A6A">
        <w:rPr>
          <w:rFonts w:ascii="Calibri" w:hAnsi="Calibri" w:cs="Arial"/>
          <w:sz w:val="20"/>
          <w:szCs w:val="20"/>
        </w:rPr>
        <w:t xml:space="preserve"> e le Agenzie della Fiscalità</w:t>
      </w:r>
      <w:r w:rsidR="0011099A" w:rsidRPr="00420A6A">
        <w:rPr>
          <w:rFonts w:ascii="Calibri" w:hAnsi="Calibri" w:cs="Arial"/>
          <w:sz w:val="20"/>
          <w:szCs w:val="20"/>
        </w:rPr>
        <w:t>”</w:t>
      </w:r>
      <w:r w:rsidR="0062696B" w:rsidRPr="00420A6A">
        <w:rPr>
          <w:rFonts w:ascii="Calibri" w:hAnsi="Calibri" w:cs="Arial"/>
          <w:sz w:val="20"/>
          <w:szCs w:val="20"/>
        </w:rPr>
        <w:t>.</w:t>
      </w:r>
    </w:p>
    <w:p w14:paraId="54E5C444"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0DA74A16"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65D1D840" w14:textId="77777777"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2BA9DA01" w14:textId="77777777">
        <w:tc>
          <w:tcPr>
            <w:tcW w:w="3321" w:type="dxa"/>
            <w:vAlign w:val="center"/>
          </w:tcPr>
          <w:p w14:paraId="3E61FA2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4FC74B8A"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4E339F7" w14:textId="77777777">
        <w:tc>
          <w:tcPr>
            <w:tcW w:w="3321" w:type="dxa"/>
            <w:vAlign w:val="center"/>
          </w:tcPr>
          <w:p w14:paraId="2E1D2F4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30ABAB9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B056DCB" w14:textId="77777777">
        <w:tc>
          <w:tcPr>
            <w:tcW w:w="3321" w:type="dxa"/>
            <w:vAlign w:val="center"/>
          </w:tcPr>
          <w:p w14:paraId="5C339EB5"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435C67C3"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AB03504" w14:textId="77777777">
        <w:tc>
          <w:tcPr>
            <w:tcW w:w="3321" w:type="dxa"/>
            <w:vAlign w:val="center"/>
          </w:tcPr>
          <w:p w14:paraId="2A51E94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236FFFA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7BB08DA4" w14:textId="77777777">
        <w:tc>
          <w:tcPr>
            <w:tcW w:w="3321" w:type="dxa"/>
            <w:vAlign w:val="center"/>
          </w:tcPr>
          <w:p w14:paraId="74EE918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7F51AEE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3C429804" w14:textId="77777777">
        <w:tc>
          <w:tcPr>
            <w:tcW w:w="3321" w:type="dxa"/>
            <w:vAlign w:val="center"/>
          </w:tcPr>
          <w:p w14:paraId="3F36BAC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31A90571"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02C87FC" w14:textId="77777777">
        <w:tc>
          <w:tcPr>
            <w:tcW w:w="3321" w:type="dxa"/>
            <w:vAlign w:val="center"/>
          </w:tcPr>
          <w:p w14:paraId="61CEB4B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51F85D9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9CA8BA6" w14:textId="77777777">
        <w:tc>
          <w:tcPr>
            <w:tcW w:w="3321" w:type="dxa"/>
            <w:vAlign w:val="center"/>
          </w:tcPr>
          <w:p w14:paraId="0769A59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7B03546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7A5C4607" w14:textId="77777777" w:rsidR="000B4D07" w:rsidRPr="00071F4C" w:rsidRDefault="000B4D07">
      <w:pPr>
        <w:pStyle w:val="Titolo1"/>
        <w:numPr>
          <w:ilvl w:val="0"/>
          <w:numId w:val="0"/>
        </w:numPr>
        <w:jc w:val="both"/>
        <w:rPr>
          <w:rFonts w:ascii="Calibri" w:hAnsi="Calibri"/>
          <w:i/>
          <w:sz w:val="20"/>
          <w:szCs w:val="20"/>
        </w:rPr>
      </w:pPr>
    </w:p>
    <w:p w14:paraId="40F77BDF"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7157E144"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369E3F0" w14:textId="77777777" w:rsidR="009D7881" w:rsidRPr="00B362F5" w:rsidRDefault="009D7881" w:rsidP="00444A91">
      <w:pPr>
        <w:spacing w:line="276" w:lineRule="auto"/>
        <w:jc w:val="both"/>
        <w:rPr>
          <w:rFonts w:asciiTheme="minorHAnsi" w:hAnsiTheme="minorHAnsi"/>
          <w:sz w:val="20"/>
          <w:szCs w:val="20"/>
        </w:rPr>
      </w:pPr>
    </w:p>
    <w:p w14:paraId="205A604E"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462D5C50"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553B49F2" w14:textId="77777777" w:rsidR="009D7881" w:rsidRPr="00B362F5" w:rsidRDefault="009D7881" w:rsidP="00444A91">
      <w:pPr>
        <w:spacing w:line="276" w:lineRule="auto"/>
        <w:jc w:val="both"/>
        <w:rPr>
          <w:rFonts w:asciiTheme="minorHAnsi" w:hAnsiTheme="minorHAnsi"/>
          <w:sz w:val="20"/>
          <w:szCs w:val="20"/>
        </w:rPr>
      </w:pPr>
    </w:p>
    <w:p w14:paraId="5E909D6E"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CF480F7" w14:textId="77777777" w:rsidR="009D7881" w:rsidRPr="00B362F5" w:rsidRDefault="009D7881" w:rsidP="00444A91">
      <w:pPr>
        <w:spacing w:line="276" w:lineRule="auto"/>
        <w:jc w:val="both"/>
        <w:rPr>
          <w:rFonts w:asciiTheme="minorHAnsi" w:hAnsiTheme="minorHAnsi"/>
          <w:sz w:val="20"/>
          <w:szCs w:val="20"/>
        </w:rPr>
      </w:pPr>
    </w:p>
    <w:p w14:paraId="7B04752B"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750FF31F"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FEED9E1"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0929830E" w14:textId="77777777" w:rsidR="009D7881" w:rsidRPr="00B362F5" w:rsidRDefault="009D7881" w:rsidP="00444A91">
      <w:pPr>
        <w:spacing w:line="276" w:lineRule="auto"/>
        <w:jc w:val="both"/>
        <w:rPr>
          <w:rFonts w:asciiTheme="minorHAnsi" w:hAnsiTheme="minorHAnsi"/>
          <w:sz w:val="20"/>
          <w:szCs w:val="20"/>
        </w:rPr>
      </w:pPr>
    </w:p>
    <w:p w14:paraId="18955C5F" w14:textId="77777777"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427406">
        <w:rPr>
          <w:rFonts w:asciiTheme="minorHAnsi" w:hAnsiTheme="minorHAnsi"/>
          <w:sz w:val="20"/>
          <w:szCs w:val="20"/>
        </w:rPr>
        <w:t xml:space="preserve">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14:paraId="35056967" w14:textId="77777777" w:rsidR="00B362F5" w:rsidRDefault="00B362F5">
      <w:pPr>
        <w:rPr>
          <w:rFonts w:ascii="Calibri" w:hAnsi="Calibri"/>
          <w:b/>
        </w:rPr>
      </w:pPr>
      <w:r>
        <w:rPr>
          <w:rFonts w:ascii="Calibri" w:hAnsi="Calibri"/>
        </w:rPr>
        <w:br w:type="page"/>
      </w:r>
    </w:p>
    <w:p w14:paraId="2BA9536F" w14:textId="77777777"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14:paraId="19F299F3" w14:textId="77777777" w:rsidR="00074BD2" w:rsidRPr="00DE554B" w:rsidRDefault="00427406" w:rsidP="00AD7CCF">
      <w:pPr>
        <w:spacing w:line="276" w:lineRule="auto"/>
        <w:rPr>
          <w:rFonts w:asciiTheme="minorHAnsi" w:hAnsiTheme="minorHAnsi" w:cstheme="minorHAnsi"/>
          <w:b/>
          <w:u w:val="single"/>
        </w:rPr>
      </w:pPr>
      <w:r>
        <w:rPr>
          <w:rFonts w:asciiTheme="minorHAnsi" w:hAnsiTheme="minorHAnsi" w:cstheme="minorHAnsi"/>
          <w:b/>
          <w:u w:val="single"/>
        </w:rPr>
        <w:t>Informazioni di contesto</w:t>
      </w:r>
    </w:p>
    <w:p w14:paraId="0B08C3D7" w14:textId="77777777" w:rsidR="002C3BE2" w:rsidRPr="002C3BE2" w:rsidRDefault="002C3BE2" w:rsidP="002C3BE2">
      <w:pPr>
        <w:spacing w:line="276" w:lineRule="auto"/>
        <w:jc w:val="both"/>
        <w:rPr>
          <w:rFonts w:asciiTheme="minorHAnsi" w:hAnsiTheme="minorHAnsi" w:cstheme="minorHAnsi"/>
        </w:rPr>
      </w:pPr>
      <w:r w:rsidRPr="002C3BE2">
        <w:rPr>
          <w:rFonts w:asciiTheme="minorHAnsi" w:hAnsiTheme="minorHAnsi" w:cstheme="minorHAnsi"/>
        </w:rPr>
        <w:t xml:space="preserve">I prodotti della famiglia “Oracle Application” sono di riferimento nell’ambito del sistema informativo della fiscalità e del Sistema Informativo Aziendale della </w:t>
      </w:r>
      <w:proofErr w:type="spellStart"/>
      <w:r w:rsidRPr="002C3BE2">
        <w:rPr>
          <w:rFonts w:asciiTheme="minorHAnsi" w:hAnsiTheme="minorHAnsi" w:cstheme="minorHAnsi"/>
        </w:rPr>
        <w:t>Sogei</w:t>
      </w:r>
      <w:proofErr w:type="spellEnd"/>
      <w:r w:rsidRPr="002C3BE2">
        <w:rPr>
          <w:rFonts w:asciiTheme="minorHAnsi" w:hAnsiTheme="minorHAnsi" w:cstheme="minorHAnsi"/>
        </w:rPr>
        <w:t xml:space="preserve"> e ad oggi supportano per la quasi totalità le soluzioni gestionali offerte alle strutture organizzative dell’Amministrazione Finanziaria e della </w:t>
      </w:r>
      <w:proofErr w:type="spellStart"/>
      <w:r w:rsidRPr="002C3BE2">
        <w:rPr>
          <w:rFonts w:asciiTheme="minorHAnsi" w:hAnsiTheme="minorHAnsi" w:cstheme="minorHAnsi"/>
        </w:rPr>
        <w:t>Sogei</w:t>
      </w:r>
      <w:proofErr w:type="spellEnd"/>
      <w:r w:rsidRPr="002C3BE2">
        <w:rPr>
          <w:rFonts w:asciiTheme="minorHAnsi" w:hAnsiTheme="minorHAnsi" w:cstheme="minorHAnsi"/>
        </w:rPr>
        <w:t>.</w:t>
      </w:r>
    </w:p>
    <w:p w14:paraId="6A4DCA4C" w14:textId="77777777" w:rsidR="002C3BE2" w:rsidRPr="002C3BE2" w:rsidRDefault="002C3BE2" w:rsidP="002C3BE2">
      <w:pPr>
        <w:spacing w:line="276" w:lineRule="auto"/>
        <w:jc w:val="both"/>
        <w:rPr>
          <w:rFonts w:asciiTheme="minorHAnsi" w:hAnsiTheme="minorHAnsi" w:cstheme="minorHAnsi"/>
        </w:rPr>
      </w:pPr>
      <w:r w:rsidRPr="002C3BE2">
        <w:rPr>
          <w:rFonts w:asciiTheme="minorHAnsi" w:hAnsiTheme="minorHAnsi" w:cstheme="minorHAnsi"/>
        </w:rPr>
        <w:t>In questo ambito tutti i sistemi di Pianificazione, Controllo, Amministrazione contabile e Acquisti sono basati sui moduli della famiglia applicativa Oracle come di seguito descritto:</w:t>
      </w:r>
    </w:p>
    <w:p w14:paraId="4556B27B" w14:textId="77777777" w:rsidR="002C3BE2" w:rsidRPr="002C3BE2" w:rsidRDefault="002C3BE2" w:rsidP="002C3BE2">
      <w:pPr>
        <w:spacing w:line="276" w:lineRule="auto"/>
        <w:jc w:val="both"/>
        <w:rPr>
          <w:rFonts w:asciiTheme="minorHAnsi" w:hAnsiTheme="minorHAnsi" w:cstheme="minorHAnsi"/>
        </w:rPr>
      </w:pPr>
      <w:r w:rsidRPr="002C3BE2">
        <w:rPr>
          <w:rFonts w:asciiTheme="minorHAnsi" w:hAnsiTheme="minorHAnsi" w:cstheme="minorHAnsi"/>
        </w:rPr>
        <w:t>•</w:t>
      </w:r>
      <w:r w:rsidRPr="002C3BE2">
        <w:rPr>
          <w:rFonts w:asciiTheme="minorHAnsi" w:hAnsiTheme="minorHAnsi" w:cstheme="minorHAnsi"/>
        </w:rPr>
        <w:tab/>
        <w:t xml:space="preserve">Area Pianificazione e Controllo: i processi di Pianificazione e Controllo, nelle componenti di Budget Economico, Budget Tecnico-Fisico, Consuntivazione Economica e Tecnico-Fisica e quelle di Contabilità Analitica sono supportati da soluzioni applicative Oracle; le soluzioni applicative in questo ambito sono infatti basate sulla piattaforma Oracle “Enterprise Performance Management (EPM)” </w:t>
      </w:r>
    </w:p>
    <w:p w14:paraId="2A09EF9A" w14:textId="77777777" w:rsidR="002C3BE2" w:rsidRDefault="002C3BE2" w:rsidP="002C3BE2">
      <w:pPr>
        <w:spacing w:line="276" w:lineRule="auto"/>
        <w:jc w:val="both"/>
        <w:rPr>
          <w:rFonts w:asciiTheme="minorHAnsi" w:hAnsiTheme="minorHAnsi" w:cstheme="minorHAnsi"/>
        </w:rPr>
      </w:pPr>
      <w:r w:rsidRPr="002C3BE2">
        <w:rPr>
          <w:rFonts w:asciiTheme="minorHAnsi" w:hAnsiTheme="minorHAnsi" w:cstheme="minorHAnsi"/>
        </w:rPr>
        <w:t>•</w:t>
      </w:r>
      <w:r w:rsidRPr="002C3BE2">
        <w:rPr>
          <w:rFonts w:asciiTheme="minorHAnsi" w:hAnsiTheme="minorHAnsi" w:cstheme="minorHAnsi"/>
        </w:rPr>
        <w:tab/>
        <w:t xml:space="preserve">Area Amministrativo contabile e Acquisti: i processi relativi alla gestione Amministrativo contabile e degli Acquisti sono supportati dalle soluzioni applicative realizzate sulla piattaforma “Oracle </w:t>
      </w:r>
      <w:proofErr w:type="spellStart"/>
      <w:r w:rsidRPr="002C3BE2">
        <w:rPr>
          <w:rFonts w:asciiTheme="minorHAnsi" w:hAnsiTheme="minorHAnsi" w:cstheme="minorHAnsi"/>
        </w:rPr>
        <w:t>eBusiness</w:t>
      </w:r>
      <w:proofErr w:type="spellEnd"/>
      <w:r w:rsidRPr="002C3BE2">
        <w:rPr>
          <w:rFonts w:asciiTheme="minorHAnsi" w:hAnsiTheme="minorHAnsi" w:cstheme="minorHAnsi"/>
        </w:rPr>
        <w:t xml:space="preserve"> Suite”.</w:t>
      </w:r>
    </w:p>
    <w:p w14:paraId="5A39B565" w14:textId="77777777" w:rsidR="00AB4757" w:rsidRDefault="002C3BE2" w:rsidP="002C3BE2">
      <w:pPr>
        <w:spacing w:line="276" w:lineRule="auto"/>
        <w:jc w:val="both"/>
        <w:rPr>
          <w:rFonts w:asciiTheme="minorHAnsi" w:hAnsiTheme="minorHAnsi" w:cstheme="minorHAnsi"/>
        </w:rPr>
      </w:pPr>
      <w:r>
        <w:rPr>
          <w:rFonts w:asciiTheme="minorHAnsi" w:hAnsiTheme="minorHAnsi" w:cstheme="minorHAnsi"/>
        </w:rPr>
        <w:t xml:space="preserve">Attualmente il servizio di manutenzione di </w:t>
      </w:r>
      <w:r w:rsidR="00AB4757">
        <w:rPr>
          <w:rFonts w:asciiTheme="minorHAnsi" w:hAnsiTheme="minorHAnsi" w:cstheme="minorHAnsi"/>
        </w:rPr>
        <w:t>tali</w:t>
      </w:r>
      <w:r>
        <w:rPr>
          <w:rFonts w:asciiTheme="minorHAnsi" w:hAnsiTheme="minorHAnsi" w:cstheme="minorHAnsi"/>
        </w:rPr>
        <w:t xml:space="preserve"> prodotti è assicurato attraverso il contratto “ULA Oracle” per SOGEI stipulato nel maggio 2019 per la durata di 48 mesi.</w:t>
      </w:r>
    </w:p>
    <w:p w14:paraId="72F0C459" w14:textId="77777777" w:rsidR="002C3BE2" w:rsidRDefault="002C3BE2" w:rsidP="002C3BE2">
      <w:pPr>
        <w:spacing w:line="276" w:lineRule="auto"/>
        <w:jc w:val="both"/>
        <w:rPr>
          <w:rFonts w:asciiTheme="minorHAnsi" w:hAnsiTheme="minorHAnsi" w:cstheme="minorHAnsi"/>
        </w:rPr>
      </w:pPr>
      <w:r>
        <w:rPr>
          <w:rFonts w:asciiTheme="minorHAnsi" w:hAnsiTheme="minorHAnsi" w:cstheme="minorHAnsi"/>
        </w:rPr>
        <w:t xml:space="preserve"> </w:t>
      </w:r>
    </w:p>
    <w:p w14:paraId="19A97050" w14:textId="338DD8DA" w:rsidR="002C3BE2" w:rsidRDefault="002C3BE2" w:rsidP="002C3BE2">
      <w:pPr>
        <w:spacing w:line="276" w:lineRule="auto"/>
        <w:jc w:val="both"/>
        <w:rPr>
          <w:rFonts w:asciiTheme="minorHAnsi" w:hAnsiTheme="minorHAnsi" w:cstheme="minorHAnsi"/>
        </w:rPr>
      </w:pPr>
      <w:r>
        <w:rPr>
          <w:rFonts w:asciiTheme="minorHAnsi" w:hAnsiTheme="minorHAnsi" w:cstheme="minorHAnsi"/>
        </w:rPr>
        <w:t xml:space="preserve">Attraverso l’acquisizione oggetto di questa consultazione di mercato si intende </w:t>
      </w:r>
      <w:r w:rsidRPr="002C3BE2">
        <w:rPr>
          <w:rFonts w:asciiTheme="minorHAnsi" w:hAnsiTheme="minorHAnsi" w:cstheme="minorHAnsi"/>
        </w:rPr>
        <w:t>passa</w:t>
      </w:r>
      <w:r>
        <w:rPr>
          <w:rFonts w:asciiTheme="minorHAnsi" w:hAnsiTheme="minorHAnsi" w:cstheme="minorHAnsi"/>
        </w:rPr>
        <w:t>re</w:t>
      </w:r>
      <w:r w:rsidRPr="002C3BE2">
        <w:rPr>
          <w:rFonts w:asciiTheme="minorHAnsi" w:hAnsiTheme="minorHAnsi" w:cstheme="minorHAnsi"/>
        </w:rPr>
        <w:t xml:space="preserve"> da una logica on-premise a servizi </w:t>
      </w:r>
      <w:proofErr w:type="spellStart"/>
      <w:r w:rsidRPr="002C3BE2">
        <w:rPr>
          <w:rFonts w:asciiTheme="minorHAnsi" w:hAnsiTheme="minorHAnsi" w:cstheme="minorHAnsi"/>
        </w:rPr>
        <w:t>Cloud</w:t>
      </w:r>
      <w:proofErr w:type="spellEnd"/>
      <w:r w:rsidRPr="002C3BE2">
        <w:rPr>
          <w:rFonts w:asciiTheme="minorHAnsi" w:hAnsiTheme="minorHAnsi" w:cstheme="minorHAnsi"/>
        </w:rPr>
        <w:t xml:space="preserve"> in modalità </w:t>
      </w:r>
      <w:proofErr w:type="spellStart"/>
      <w:r w:rsidRPr="002C3BE2">
        <w:rPr>
          <w:rFonts w:asciiTheme="minorHAnsi" w:hAnsiTheme="minorHAnsi" w:cstheme="minorHAnsi"/>
        </w:rPr>
        <w:t>SaaS</w:t>
      </w:r>
      <w:proofErr w:type="spellEnd"/>
      <w:r>
        <w:rPr>
          <w:rFonts w:asciiTheme="minorHAnsi" w:hAnsiTheme="minorHAnsi" w:cstheme="minorHAnsi"/>
        </w:rPr>
        <w:t xml:space="preserve">, </w:t>
      </w:r>
      <w:r w:rsidRPr="002C3BE2">
        <w:rPr>
          <w:rFonts w:asciiTheme="minorHAnsi" w:hAnsiTheme="minorHAnsi" w:cstheme="minorHAnsi"/>
        </w:rPr>
        <w:t>in totale continuità applicativa</w:t>
      </w:r>
      <w:r w:rsidR="00C7724D">
        <w:rPr>
          <w:rFonts w:asciiTheme="minorHAnsi" w:hAnsiTheme="minorHAnsi" w:cstheme="minorHAnsi"/>
        </w:rPr>
        <w:t xml:space="preserve"> </w:t>
      </w:r>
      <w:r w:rsidR="00C7724D" w:rsidRPr="00C7724D">
        <w:rPr>
          <w:rFonts w:asciiTheme="minorHAnsi" w:hAnsiTheme="minorHAnsi" w:cstheme="minorHAnsi"/>
        </w:rPr>
        <w:t xml:space="preserve">e, nel contempo, usufruendo delle più moderne tecnologie </w:t>
      </w:r>
      <w:proofErr w:type="gramStart"/>
      <w:r w:rsidR="00C7724D" w:rsidRPr="00C7724D">
        <w:rPr>
          <w:rFonts w:asciiTheme="minorHAnsi" w:hAnsiTheme="minorHAnsi" w:cstheme="minorHAnsi"/>
        </w:rPr>
        <w:t>e “</w:t>
      </w:r>
      <w:proofErr w:type="spellStart"/>
      <w:proofErr w:type="gramEnd"/>
      <w:r w:rsidR="00C7724D" w:rsidRPr="00C7724D">
        <w:rPr>
          <w:rFonts w:asciiTheme="minorHAnsi" w:hAnsiTheme="minorHAnsi" w:cstheme="minorHAnsi"/>
        </w:rPr>
        <w:t>capability</w:t>
      </w:r>
      <w:proofErr w:type="spellEnd"/>
      <w:r w:rsidR="00C7724D" w:rsidRPr="00C7724D">
        <w:rPr>
          <w:rFonts w:asciiTheme="minorHAnsi" w:hAnsiTheme="minorHAnsi" w:cstheme="minorHAnsi"/>
        </w:rPr>
        <w:t xml:space="preserve">” quali la BI </w:t>
      </w:r>
      <w:proofErr w:type="spellStart"/>
      <w:r w:rsidR="00C7724D" w:rsidRPr="00C7724D">
        <w:rPr>
          <w:rFonts w:asciiTheme="minorHAnsi" w:hAnsiTheme="minorHAnsi" w:cstheme="minorHAnsi"/>
        </w:rPr>
        <w:t>embedded</w:t>
      </w:r>
      <w:proofErr w:type="spellEnd"/>
      <w:r w:rsidR="00C7724D" w:rsidRPr="00C7724D">
        <w:rPr>
          <w:rFonts w:asciiTheme="minorHAnsi" w:hAnsiTheme="minorHAnsi" w:cstheme="minorHAnsi"/>
        </w:rPr>
        <w:t>, il Social Embedded</w:t>
      </w:r>
      <w:r w:rsidRPr="002C3BE2">
        <w:rPr>
          <w:rFonts w:asciiTheme="minorHAnsi" w:hAnsiTheme="minorHAnsi" w:cstheme="minorHAnsi"/>
        </w:rPr>
        <w:t>.</w:t>
      </w:r>
      <w:r w:rsidR="003F6F9A">
        <w:rPr>
          <w:rFonts w:asciiTheme="minorHAnsi" w:hAnsiTheme="minorHAnsi" w:cstheme="minorHAnsi"/>
        </w:rPr>
        <w:t xml:space="preserve"> </w:t>
      </w:r>
    </w:p>
    <w:p w14:paraId="144668C9" w14:textId="78360833" w:rsidR="002C3BE2" w:rsidRDefault="00AB4757" w:rsidP="002C3BE2">
      <w:pPr>
        <w:spacing w:line="276" w:lineRule="auto"/>
        <w:jc w:val="both"/>
        <w:rPr>
          <w:rFonts w:asciiTheme="minorHAnsi" w:hAnsiTheme="minorHAnsi" w:cstheme="minorHAnsi"/>
        </w:rPr>
      </w:pPr>
      <w:r w:rsidRPr="00AB4757">
        <w:rPr>
          <w:rFonts w:asciiTheme="minorHAnsi" w:hAnsiTheme="minorHAnsi" w:cstheme="minorHAnsi"/>
        </w:rPr>
        <w:t xml:space="preserve">La piattaforma nel corso del tempo ha raggiunto dei </w:t>
      </w:r>
      <w:r>
        <w:rPr>
          <w:rFonts w:asciiTheme="minorHAnsi" w:hAnsiTheme="minorHAnsi" w:cstheme="minorHAnsi"/>
        </w:rPr>
        <w:t xml:space="preserve">considerevoli </w:t>
      </w:r>
      <w:r w:rsidRPr="00AB4757">
        <w:rPr>
          <w:rFonts w:asciiTheme="minorHAnsi" w:hAnsiTheme="minorHAnsi" w:cstheme="minorHAnsi"/>
        </w:rPr>
        <w:t xml:space="preserve">livelli di personalizzazione </w:t>
      </w:r>
      <w:r>
        <w:rPr>
          <w:rFonts w:asciiTheme="minorHAnsi" w:hAnsiTheme="minorHAnsi" w:cstheme="minorHAnsi"/>
        </w:rPr>
        <w:t xml:space="preserve">consistenti in moduli di terze parti; ciò comporta elevati </w:t>
      </w:r>
      <w:r w:rsidRPr="00AB4757">
        <w:rPr>
          <w:rFonts w:asciiTheme="minorHAnsi" w:hAnsiTheme="minorHAnsi" w:cstheme="minorHAnsi"/>
        </w:rPr>
        <w:t>cos</w:t>
      </w:r>
      <w:r>
        <w:rPr>
          <w:rFonts w:asciiTheme="minorHAnsi" w:hAnsiTheme="minorHAnsi" w:cstheme="minorHAnsi"/>
        </w:rPr>
        <w:t xml:space="preserve">ti di manutenzione e la difficoltà di mantenere </w:t>
      </w:r>
      <w:r w:rsidR="005213CD">
        <w:rPr>
          <w:rFonts w:asciiTheme="minorHAnsi" w:hAnsiTheme="minorHAnsi" w:cstheme="minorHAnsi"/>
        </w:rPr>
        <w:t>aggiornata all’ultima v</w:t>
      </w:r>
      <w:r>
        <w:rPr>
          <w:rFonts w:asciiTheme="minorHAnsi" w:hAnsiTheme="minorHAnsi" w:cstheme="minorHAnsi"/>
        </w:rPr>
        <w:t>ers</w:t>
      </w:r>
      <w:r w:rsidR="005213CD">
        <w:rPr>
          <w:rFonts w:asciiTheme="minorHAnsi" w:hAnsiTheme="minorHAnsi" w:cstheme="minorHAnsi"/>
        </w:rPr>
        <w:t>i</w:t>
      </w:r>
      <w:r>
        <w:rPr>
          <w:rFonts w:asciiTheme="minorHAnsi" w:hAnsiTheme="minorHAnsi" w:cstheme="minorHAnsi"/>
        </w:rPr>
        <w:t>on</w:t>
      </w:r>
      <w:r w:rsidR="005213CD">
        <w:rPr>
          <w:rFonts w:asciiTheme="minorHAnsi" w:hAnsiTheme="minorHAnsi" w:cstheme="minorHAnsi"/>
        </w:rPr>
        <w:t xml:space="preserve">e </w:t>
      </w:r>
      <w:r>
        <w:rPr>
          <w:rFonts w:asciiTheme="minorHAnsi" w:hAnsiTheme="minorHAnsi" w:cstheme="minorHAnsi"/>
        </w:rPr>
        <w:t>i prodotti; l</w:t>
      </w:r>
      <w:r w:rsidRPr="00AB4757">
        <w:rPr>
          <w:rFonts w:asciiTheme="minorHAnsi" w:hAnsiTheme="minorHAnsi" w:cstheme="minorHAnsi"/>
        </w:rPr>
        <w:t xml:space="preserve">a migrazione </w:t>
      </w:r>
      <w:r w:rsidR="00427406">
        <w:rPr>
          <w:rFonts w:asciiTheme="minorHAnsi" w:hAnsiTheme="minorHAnsi" w:cstheme="minorHAnsi"/>
        </w:rPr>
        <w:t>ad una soluzione SAAS</w:t>
      </w:r>
      <w:r w:rsidRPr="00AB4757">
        <w:rPr>
          <w:rFonts w:asciiTheme="minorHAnsi" w:hAnsiTheme="minorHAnsi" w:cstheme="minorHAnsi"/>
        </w:rPr>
        <w:t xml:space="preserve"> </w:t>
      </w:r>
      <w:r>
        <w:rPr>
          <w:rFonts w:asciiTheme="minorHAnsi" w:hAnsiTheme="minorHAnsi" w:cstheme="minorHAnsi"/>
        </w:rPr>
        <w:t xml:space="preserve">è quindi anche motivata dalla necessità di </w:t>
      </w:r>
      <w:r w:rsidRPr="00AB4757">
        <w:rPr>
          <w:rFonts w:asciiTheme="minorHAnsi" w:hAnsiTheme="minorHAnsi" w:cstheme="minorHAnsi"/>
        </w:rPr>
        <w:t>consentir</w:t>
      </w:r>
      <w:r>
        <w:rPr>
          <w:rFonts w:asciiTheme="minorHAnsi" w:hAnsiTheme="minorHAnsi" w:cstheme="minorHAnsi"/>
        </w:rPr>
        <w:t>e</w:t>
      </w:r>
      <w:r w:rsidRPr="00AB4757">
        <w:rPr>
          <w:rFonts w:asciiTheme="minorHAnsi" w:hAnsiTheme="minorHAnsi" w:cstheme="minorHAnsi"/>
        </w:rPr>
        <w:t xml:space="preserve"> la standardizzazione e</w:t>
      </w:r>
      <w:r w:rsidR="005213CD">
        <w:rPr>
          <w:rFonts w:asciiTheme="minorHAnsi" w:hAnsiTheme="minorHAnsi" w:cstheme="minorHAnsi"/>
        </w:rPr>
        <w:t xml:space="preserve"> la</w:t>
      </w:r>
      <w:r w:rsidRPr="00AB4757">
        <w:rPr>
          <w:rFonts w:asciiTheme="minorHAnsi" w:hAnsiTheme="minorHAnsi" w:cstheme="minorHAnsi"/>
        </w:rPr>
        <w:t xml:space="preserve"> semplificazione dei processi.</w:t>
      </w:r>
    </w:p>
    <w:p w14:paraId="4BE59738" w14:textId="1B48D96B" w:rsidR="00242CA8" w:rsidRDefault="00242CA8" w:rsidP="002C3BE2">
      <w:pPr>
        <w:spacing w:line="276" w:lineRule="auto"/>
        <w:jc w:val="both"/>
        <w:rPr>
          <w:rFonts w:asciiTheme="minorHAnsi" w:hAnsiTheme="minorHAnsi" w:cstheme="minorHAnsi"/>
        </w:rPr>
      </w:pPr>
      <w:r>
        <w:rPr>
          <w:rFonts w:asciiTheme="minorHAnsi" w:hAnsiTheme="minorHAnsi" w:cstheme="minorHAnsi"/>
        </w:rPr>
        <w:t xml:space="preserve">La soluzione dovrà, pertanto, assicurare il progressivo superamento delle personalizzazioni realizzate senza che si determinino discontinuità nella </w:t>
      </w:r>
      <w:proofErr w:type="spellStart"/>
      <w:r>
        <w:rPr>
          <w:rFonts w:asciiTheme="minorHAnsi" w:hAnsiTheme="minorHAnsi" w:cstheme="minorHAnsi"/>
        </w:rPr>
        <w:t>fruzione</w:t>
      </w:r>
      <w:proofErr w:type="spellEnd"/>
      <w:r>
        <w:rPr>
          <w:rFonts w:asciiTheme="minorHAnsi" w:hAnsiTheme="minorHAnsi" w:cstheme="minorHAnsi"/>
        </w:rPr>
        <w:t xml:space="preserve"> dei </w:t>
      </w:r>
      <w:proofErr w:type="gramStart"/>
      <w:r>
        <w:rPr>
          <w:rFonts w:asciiTheme="minorHAnsi" w:hAnsiTheme="minorHAnsi" w:cstheme="minorHAnsi"/>
        </w:rPr>
        <w:t>servizi  da</w:t>
      </w:r>
      <w:proofErr w:type="gramEnd"/>
      <w:r>
        <w:rPr>
          <w:rFonts w:asciiTheme="minorHAnsi" w:hAnsiTheme="minorHAnsi" w:cstheme="minorHAnsi"/>
        </w:rPr>
        <w:t xml:space="preserve"> parte degli utenti del S</w:t>
      </w:r>
      <w:r w:rsidRPr="002C3BE2">
        <w:rPr>
          <w:rFonts w:asciiTheme="minorHAnsi" w:hAnsiTheme="minorHAnsi" w:cstheme="minorHAnsi"/>
        </w:rPr>
        <w:t xml:space="preserve">istema informativo della fiscalità e del Sistema Informativo Aziendale della </w:t>
      </w:r>
      <w:proofErr w:type="spellStart"/>
      <w:r w:rsidRPr="002C3BE2">
        <w:rPr>
          <w:rFonts w:asciiTheme="minorHAnsi" w:hAnsiTheme="minorHAnsi" w:cstheme="minorHAnsi"/>
        </w:rPr>
        <w:t>Sogei</w:t>
      </w:r>
      <w:proofErr w:type="spellEnd"/>
    </w:p>
    <w:p w14:paraId="0C2B9ED4" w14:textId="30A6B6F8" w:rsidR="00C7724D" w:rsidRPr="00C7724D" w:rsidRDefault="00C7724D" w:rsidP="00C7724D">
      <w:pPr>
        <w:spacing w:line="276" w:lineRule="auto"/>
        <w:jc w:val="both"/>
        <w:rPr>
          <w:rFonts w:asciiTheme="minorHAnsi" w:hAnsiTheme="minorHAnsi" w:cstheme="minorHAnsi"/>
        </w:rPr>
      </w:pPr>
      <w:r w:rsidRPr="00C7724D">
        <w:rPr>
          <w:rFonts w:asciiTheme="minorHAnsi" w:hAnsiTheme="minorHAnsi" w:cstheme="minorHAnsi"/>
        </w:rPr>
        <w:t xml:space="preserve">Tre driver guidano </w:t>
      </w:r>
      <w:r w:rsidR="00F679BE">
        <w:rPr>
          <w:rFonts w:asciiTheme="minorHAnsi" w:hAnsiTheme="minorHAnsi" w:cstheme="minorHAnsi"/>
        </w:rPr>
        <w:t>l’acquisizione</w:t>
      </w:r>
      <w:r w:rsidRPr="00C7724D">
        <w:rPr>
          <w:rFonts w:asciiTheme="minorHAnsi" w:hAnsiTheme="minorHAnsi" w:cstheme="minorHAnsi"/>
        </w:rPr>
        <w:t>:</w:t>
      </w:r>
    </w:p>
    <w:p w14:paraId="0078F1AD" w14:textId="77777777" w:rsidR="00C7724D" w:rsidRPr="00C7724D" w:rsidRDefault="00C7724D" w:rsidP="00C7724D">
      <w:pPr>
        <w:spacing w:line="276" w:lineRule="auto"/>
        <w:jc w:val="both"/>
        <w:rPr>
          <w:rFonts w:asciiTheme="minorHAnsi" w:hAnsiTheme="minorHAnsi" w:cstheme="minorHAnsi"/>
        </w:rPr>
      </w:pPr>
      <w:r w:rsidRPr="00C7724D">
        <w:rPr>
          <w:rFonts w:asciiTheme="minorHAnsi" w:hAnsiTheme="minorHAnsi" w:cstheme="minorHAnsi"/>
        </w:rPr>
        <w:t>•             Garantire massima flessibilità per gli utenti, assicurando l’effettivo utilizzo delle sole risorse necessarie e massima flessibilità in caso di incremento;</w:t>
      </w:r>
    </w:p>
    <w:p w14:paraId="3ADC3857" w14:textId="77777777" w:rsidR="00C7724D" w:rsidRPr="00C7724D" w:rsidRDefault="00C7724D" w:rsidP="00C7724D">
      <w:pPr>
        <w:spacing w:line="276" w:lineRule="auto"/>
        <w:jc w:val="both"/>
        <w:rPr>
          <w:rFonts w:asciiTheme="minorHAnsi" w:hAnsiTheme="minorHAnsi" w:cstheme="minorHAnsi"/>
        </w:rPr>
      </w:pPr>
      <w:r w:rsidRPr="00C7724D">
        <w:rPr>
          <w:rFonts w:asciiTheme="minorHAnsi" w:hAnsiTheme="minorHAnsi" w:cstheme="minorHAnsi"/>
        </w:rPr>
        <w:lastRenderedPageBreak/>
        <w:t>•             Introdurre l’approccio “</w:t>
      </w:r>
      <w:proofErr w:type="spellStart"/>
      <w:r w:rsidRPr="00C7724D">
        <w:rPr>
          <w:rFonts w:asciiTheme="minorHAnsi" w:hAnsiTheme="minorHAnsi" w:cstheme="minorHAnsi"/>
        </w:rPr>
        <w:t>solution</w:t>
      </w:r>
      <w:proofErr w:type="spellEnd"/>
      <w:r w:rsidRPr="00C7724D">
        <w:rPr>
          <w:rFonts w:asciiTheme="minorHAnsi" w:hAnsiTheme="minorHAnsi" w:cstheme="minorHAnsi"/>
        </w:rPr>
        <w:t xml:space="preserve"> </w:t>
      </w:r>
      <w:proofErr w:type="spellStart"/>
      <w:r w:rsidRPr="00C7724D">
        <w:rPr>
          <w:rFonts w:asciiTheme="minorHAnsi" w:hAnsiTheme="minorHAnsi" w:cstheme="minorHAnsi"/>
        </w:rPr>
        <w:t>driven</w:t>
      </w:r>
      <w:proofErr w:type="spellEnd"/>
      <w:r w:rsidRPr="00C7724D">
        <w:rPr>
          <w:rFonts w:asciiTheme="minorHAnsi" w:hAnsiTheme="minorHAnsi" w:cstheme="minorHAnsi"/>
        </w:rPr>
        <w:t xml:space="preserve">”, in cui le diverse soluzioni vengono costruite in coerenza con le best </w:t>
      </w:r>
      <w:proofErr w:type="spellStart"/>
      <w:r w:rsidRPr="00C7724D">
        <w:rPr>
          <w:rFonts w:asciiTheme="minorHAnsi" w:hAnsiTheme="minorHAnsi" w:cstheme="minorHAnsi"/>
        </w:rPr>
        <w:t>practices</w:t>
      </w:r>
      <w:proofErr w:type="spellEnd"/>
      <w:r w:rsidRPr="00C7724D">
        <w:rPr>
          <w:rFonts w:asciiTheme="minorHAnsi" w:hAnsiTheme="minorHAnsi" w:cstheme="minorHAnsi"/>
        </w:rPr>
        <w:t xml:space="preserve"> di processo in modo da massimizzare i benefici derivanti da soluzioni standardizzate, facilitando anche le procedure di controllo e auditing;</w:t>
      </w:r>
    </w:p>
    <w:p w14:paraId="4638D579" w14:textId="664ABFEF" w:rsidR="00C7724D" w:rsidRDefault="00C7724D" w:rsidP="00C7724D">
      <w:pPr>
        <w:spacing w:line="276" w:lineRule="auto"/>
        <w:jc w:val="both"/>
        <w:rPr>
          <w:rFonts w:asciiTheme="minorHAnsi" w:hAnsiTheme="minorHAnsi" w:cstheme="minorHAnsi"/>
        </w:rPr>
      </w:pPr>
      <w:r w:rsidRPr="00C7724D">
        <w:rPr>
          <w:rFonts w:asciiTheme="minorHAnsi" w:hAnsiTheme="minorHAnsi" w:cstheme="minorHAnsi"/>
        </w:rPr>
        <w:t>•             Assicurare il continuo aggiornamento delle soluzioni in coerenza con l’evoluzione delle nuove tecnologie, in modo da assicurare il mantenimento dell’eccellenza operativa nel corso del tempo.</w:t>
      </w:r>
    </w:p>
    <w:p w14:paraId="18A573C9" w14:textId="77777777" w:rsidR="00ED1390" w:rsidRDefault="00ED1390" w:rsidP="002C3BE2">
      <w:pPr>
        <w:spacing w:line="276" w:lineRule="auto"/>
        <w:jc w:val="both"/>
        <w:rPr>
          <w:rFonts w:asciiTheme="minorHAnsi" w:hAnsiTheme="minorHAnsi" w:cstheme="minorHAnsi"/>
          <w:b/>
          <w:u w:val="single"/>
        </w:rPr>
      </w:pPr>
    </w:p>
    <w:p w14:paraId="5193BB33" w14:textId="2A264157" w:rsidR="00DE554B" w:rsidRPr="00460249" w:rsidRDefault="00DE554B" w:rsidP="002C3BE2">
      <w:pPr>
        <w:spacing w:line="276" w:lineRule="auto"/>
        <w:jc w:val="both"/>
        <w:rPr>
          <w:rFonts w:asciiTheme="minorHAnsi" w:hAnsiTheme="minorHAnsi" w:cstheme="minorHAnsi"/>
          <w:b/>
          <w:u w:val="single"/>
        </w:rPr>
      </w:pPr>
      <w:r w:rsidRPr="00460249">
        <w:rPr>
          <w:rFonts w:asciiTheme="minorHAnsi" w:hAnsiTheme="minorHAnsi" w:cstheme="minorHAnsi"/>
          <w:b/>
          <w:u w:val="single"/>
        </w:rPr>
        <w:t>Oggetto dell’acquisizione.</w:t>
      </w:r>
    </w:p>
    <w:p w14:paraId="2B8164AD" w14:textId="77777777" w:rsidR="00DE554B" w:rsidRDefault="00DE554B" w:rsidP="002C3BE2">
      <w:pPr>
        <w:spacing w:line="276" w:lineRule="auto"/>
        <w:jc w:val="both"/>
        <w:rPr>
          <w:rFonts w:asciiTheme="minorHAnsi" w:hAnsiTheme="minorHAnsi" w:cstheme="minorHAnsi"/>
        </w:rPr>
      </w:pPr>
      <w:r>
        <w:rPr>
          <w:rFonts w:asciiTheme="minorHAnsi" w:hAnsiTheme="minorHAnsi" w:cstheme="minorHAnsi"/>
        </w:rPr>
        <w:t xml:space="preserve">I servizi che si intendono acquisire </w:t>
      </w:r>
      <w:r w:rsidR="00D63A90">
        <w:rPr>
          <w:rFonts w:asciiTheme="minorHAnsi" w:hAnsiTheme="minorHAnsi" w:cstheme="minorHAnsi"/>
        </w:rPr>
        <w:t>attraverso</w:t>
      </w:r>
      <w:r>
        <w:rPr>
          <w:rFonts w:asciiTheme="minorHAnsi" w:hAnsiTheme="minorHAnsi" w:cstheme="minorHAnsi"/>
        </w:rPr>
        <w:t xml:space="preserve"> la presente iniziativa sono:</w:t>
      </w:r>
    </w:p>
    <w:p w14:paraId="1E000FD3" w14:textId="77777777" w:rsidR="00DE554B" w:rsidRDefault="00DE554B" w:rsidP="00DE554B">
      <w:pPr>
        <w:pStyle w:val="Paragrafoelenco"/>
        <w:numPr>
          <w:ilvl w:val="0"/>
          <w:numId w:val="13"/>
        </w:numPr>
        <w:spacing w:line="276" w:lineRule="auto"/>
        <w:jc w:val="both"/>
        <w:rPr>
          <w:rFonts w:asciiTheme="minorHAnsi" w:hAnsiTheme="minorHAnsi" w:cstheme="minorHAnsi"/>
        </w:rPr>
      </w:pPr>
      <w:r>
        <w:rPr>
          <w:rFonts w:asciiTheme="minorHAnsi" w:hAnsiTheme="minorHAnsi" w:cstheme="minorHAnsi"/>
        </w:rPr>
        <w:t xml:space="preserve">servizi </w:t>
      </w:r>
      <w:proofErr w:type="spellStart"/>
      <w:r>
        <w:rPr>
          <w:rFonts w:asciiTheme="minorHAnsi" w:hAnsiTheme="minorHAnsi" w:cstheme="minorHAnsi"/>
        </w:rPr>
        <w:t>cloud</w:t>
      </w:r>
      <w:proofErr w:type="spellEnd"/>
      <w:r>
        <w:rPr>
          <w:rFonts w:asciiTheme="minorHAnsi" w:hAnsiTheme="minorHAnsi" w:cstheme="minorHAnsi"/>
        </w:rPr>
        <w:t xml:space="preserve"> Oracle </w:t>
      </w:r>
      <w:proofErr w:type="spellStart"/>
      <w:r>
        <w:rPr>
          <w:rFonts w:asciiTheme="minorHAnsi" w:hAnsiTheme="minorHAnsi" w:cstheme="minorHAnsi"/>
        </w:rPr>
        <w:t>Saas</w:t>
      </w:r>
      <w:proofErr w:type="spellEnd"/>
      <w:r>
        <w:rPr>
          <w:rFonts w:asciiTheme="minorHAnsi" w:hAnsiTheme="minorHAnsi" w:cstheme="minorHAnsi"/>
        </w:rPr>
        <w:t>;</w:t>
      </w:r>
    </w:p>
    <w:p w14:paraId="036BD65E" w14:textId="77777777" w:rsidR="00DE554B" w:rsidRDefault="00DE554B" w:rsidP="00DE554B">
      <w:pPr>
        <w:pStyle w:val="Paragrafoelenco"/>
        <w:numPr>
          <w:ilvl w:val="0"/>
          <w:numId w:val="13"/>
        </w:numPr>
        <w:spacing w:line="276" w:lineRule="auto"/>
        <w:jc w:val="both"/>
        <w:rPr>
          <w:rFonts w:asciiTheme="minorHAnsi" w:hAnsiTheme="minorHAnsi" w:cstheme="minorHAnsi"/>
        </w:rPr>
      </w:pPr>
      <w:r>
        <w:rPr>
          <w:rFonts w:asciiTheme="minorHAnsi" w:hAnsiTheme="minorHAnsi" w:cstheme="minorHAnsi"/>
        </w:rPr>
        <w:t xml:space="preserve">servizi </w:t>
      </w:r>
      <w:proofErr w:type="spellStart"/>
      <w:r>
        <w:rPr>
          <w:rFonts w:asciiTheme="minorHAnsi" w:hAnsiTheme="minorHAnsi" w:cstheme="minorHAnsi"/>
        </w:rPr>
        <w:t>cloud</w:t>
      </w:r>
      <w:proofErr w:type="spellEnd"/>
      <w:r>
        <w:rPr>
          <w:rFonts w:asciiTheme="minorHAnsi" w:hAnsiTheme="minorHAnsi" w:cstheme="minorHAnsi"/>
        </w:rPr>
        <w:t xml:space="preserve"> Oracle </w:t>
      </w:r>
      <w:proofErr w:type="spellStart"/>
      <w:r>
        <w:rPr>
          <w:rFonts w:asciiTheme="minorHAnsi" w:hAnsiTheme="minorHAnsi" w:cstheme="minorHAnsi"/>
        </w:rPr>
        <w:t>Paas</w:t>
      </w:r>
      <w:proofErr w:type="spellEnd"/>
      <w:r>
        <w:rPr>
          <w:rFonts w:asciiTheme="minorHAnsi" w:hAnsiTheme="minorHAnsi" w:cstheme="minorHAnsi"/>
        </w:rPr>
        <w:t>;</w:t>
      </w:r>
    </w:p>
    <w:p w14:paraId="5B0B76EA" w14:textId="77777777" w:rsidR="00DE554B" w:rsidRDefault="00DE554B" w:rsidP="00DE554B">
      <w:pPr>
        <w:pStyle w:val="Paragrafoelenco"/>
        <w:numPr>
          <w:ilvl w:val="0"/>
          <w:numId w:val="13"/>
        </w:numPr>
        <w:spacing w:line="276" w:lineRule="auto"/>
        <w:jc w:val="both"/>
        <w:rPr>
          <w:rFonts w:asciiTheme="minorHAnsi" w:hAnsiTheme="minorHAnsi" w:cstheme="minorHAnsi"/>
        </w:rPr>
      </w:pPr>
      <w:r>
        <w:rPr>
          <w:rFonts w:asciiTheme="minorHAnsi" w:hAnsiTheme="minorHAnsi" w:cstheme="minorHAnsi"/>
        </w:rPr>
        <w:t>servizi di supporto specialistico Oracle.</w:t>
      </w:r>
    </w:p>
    <w:p w14:paraId="61DDD3A3" w14:textId="77777777" w:rsidR="00460249" w:rsidRDefault="00460249" w:rsidP="00460249">
      <w:pPr>
        <w:spacing w:line="276" w:lineRule="auto"/>
        <w:jc w:val="both"/>
        <w:rPr>
          <w:rFonts w:asciiTheme="minorHAnsi" w:hAnsiTheme="minorHAnsi" w:cstheme="minorHAnsi"/>
        </w:rPr>
      </w:pPr>
      <w:r>
        <w:rPr>
          <w:rFonts w:asciiTheme="minorHAnsi" w:hAnsiTheme="minorHAnsi" w:cstheme="minorHAnsi"/>
        </w:rPr>
        <w:t xml:space="preserve">La durata del contratto è prevista per 60 mesi. </w:t>
      </w:r>
    </w:p>
    <w:p w14:paraId="160CEBE2" w14:textId="354B8EC5" w:rsidR="00222639" w:rsidRPr="00D63A90" w:rsidRDefault="00222639" w:rsidP="00222639">
      <w:pPr>
        <w:spacing w:line="276" w:lineRule="auto"/>
        <w:jc w:val="both"/>
        <w:rPr>
          <w:rFonts w:asciiTheme="minorHAnsi" w:hAnsiTheme="minorHAnsi" w:cstheme="minorHAnsi"/>
          <w:u w:val="single"/>
        </w:rPr>
      </w:pPr>
      <w:r>
        <w:rPr>
          <w:rFonts w:asciiTheme="minorHAnsi" w:hAnsiTheme="minorHAnsi" w:cstheme="minorHAnsi"/>
        </w:rPr>
        <w:t xml:space="preserve">Si prevede di migrare gradualmente le applicazioni per ambienti e contesti, creando nel primo anno le basi </w:t>
      </w:r>
      <w:r w:rsidR="00E65C33">
        <w:rPr>
          <w:rFonts w:asciiTheme="minorHAnsi" w:hAnsiTheme="minorHAnsi" w:cstheme="minorHAnsi"/>
        </w:rPr>
        <w:t>infrastrutturali</w:t>
      </w:r>
      <w:r>
        <w:rPr>
          <w:rFonts w:asciiTheme="minorHAnsi" w:hAnsiTheme="minorHAnsi" w:cstheme="minorHAnsi"/>
        </w:rPr>
        <w:t xml:space="preserve"> </w:t>
      </w:r>
      <w:proofErr w:type="spellStart"/>
      <w:r>
        <w:rPr>
          <w:rFonts w:asciiTheme="minorHAnsi" w:hAnsiTheme="minorHAnsi" w:cstheme="minorHAnsi"/>
        </w:rPr>
        <w:t>Paas</w:t>
      </w:r>
      <w:proofErr w:type="spellEnd"/>
      <w:r>
        <w:rPr>
          <w:rFonts w:asciiTheme="minorHAnsi" w:hAnsiTheme="minorHAnsi" w:cstheme="minorHAnsi"/>
        </w:rPr>
        <w:t xml:space="preserve"> ed attivando </w:t>
      </w:r>
      <w:proofErr w:type="spellStart"/>
      <w:r w:rsidR="00066CC4">
        <w:rPr>
          <w:rFonts w:asciiTheme="minorHAnsi" w:hAnsiTheme="minorHAnsi" w:cstheme="minorHAnsi"/>
        </w:rPr>
        <w:t>Sogei</w:t>
      </w:r>
      <w:proofErr w:type="spellEnd"/>
      <w:r w:rsidR="00066CC4">
        <w:rPr>
          <w:rFonts w:asciiTheme="minorHAnsi" w:hAnsiTheme="minorHAnsi" w:cstheme="minorHAnsi"/>
        </w:rPr>
        <w:t xml:space="preserve"> </w:t>
      </w:r>
      <w:r>
        <w:rPr>
          <w:rFonts w:asciiTheme="minorHAnsi" w:hAnsiTheme="minorHAnsi" w:cstheme="minorHAnsi"/>
        </w:rPr>
        <w:t>a partire d</w:t>
      </w:r>
      <w:r w:rsidR="00E65C33">
        <w:rPr>
          <w:rFonts w:asciiTheme="minorHAnsi" w:hAnsiTheme="minorHAnsi" w:cstheme="minorHAnsi"/>
        </w:rPr>
        <w:t>a</w:t>
      </w:r>
      <w:r>
        <w:rPr>
          <w:rFonts w:asciiTheme="minorHAnsi" w:hAnsiTheme="minorHAnsi" w:cstheme="minorHAnsi"/>
        </w:rPr>
        <w:t xml:space="preserve"> quell</w:t>
      </w:r>
      <w:r w:rsidR="00066CC4">
        <w:rPr>
          <w:rFonts w:asciiTheme="minorHAnsi" w:hAnsiTheme="minorHAnsi" w:cstheme="minorHAnsi"/>
        </w:rPr>
        <w:t>e</w:t>
      </w:r>
      <w:r>
        <w:rPr>
          <w:rFonts w:asciiTheme="minorHAnsi" w:hAnsiTheme="minorHAnsi" w:cstheme="minorHAnsi"/>
        </w:rPr>
        <w:t xml:space="preserve"> </w:t>
      </w:r>
      <w:r w:rsidR="00E65C33">
        <w:rPr>
          <w:rFonts w:asciiTheme="minorHAnsi" w:hAnsiTheme="minorHAnsi" w:cstheme="minorHAnsi"/>
        </w:rPr>
        <w:t xml:space="preserve">le parti applicative </w:t>
      </w:r>
      <w:r w:rsidR="00E65C33" w:rsidRPr="00222639">
        <w:rPr>
          <w:rFonts w:asciiTheme="minorHAnsi" w:hAnsiTheme="minorHAnsi" w:cstheme="minorHAnsi"/>
        </w:rPr>
        <w:t>sino alla completa migrazione nell’ambito del contratto di tutte le Agenzie</w:t>
      </w:r>
      <w:r w:rsidR="00E65C33">
        <w:rPr>
          <w:rFonts w:asciiTheme="minorHAnsi" w:hAnsiTheme="minorHAnsi" w:cstheme="minorHAnsi"/>
        </w:rPr>
        <w:t>.</w:t>
      </w:r>
      <w:r>
        <w:rPr>
          <w:rFonts w:asciiTheme="minorHAnsi" w:hAnsiTheme="minorHAnsi" w:cstheme="minorHAnsi"/>
        </w:rPr>
        <w:t xml:space="preserve">   </w:t>
      </w:r>
      <w:r w:rsidR="004F2D2D" w:rsidRPr="00D63A90">
        <w:rPr>
          <w:rFonts w:asciiTheme="minorHAnsi" w:hAnsiTheme="minorHAnsi" w:cstheme="minorHAnsi"/>
          <w:u w:val="single"/>
        </w:rPr>
        <w:t xml:space="preserve">Per i servizi </w:t>
      </w:r>
      <w:proofErr w:type="spellStart"/>
      <w:r w:rsidR="004F2D2D" w:rsidRPr="00D63A90">
        <w:rPr>
          <w:rFonts w:asciiTheme="minorHAnsi" w:hAnsiTheme="minorHAnsi" w:cstheme="minorHAnsi"/>
          <w:u w:val="single"/>
        </w:rPr>
        <w:t>Saas</w:t>
      </w:r>
      <w:proofErr w:type="spellEnd"/>
      <w:r w:rsidR="004F2D2D" w:rsidRPr="00D63A90">
        <w:rPr>
          <w:rFonts w:asciiTheme="minorHAnsi" w:hAnsiTheme="minorHAnsi" w:cstheme="minorHAnsi"/>
          <w:u w:val="single"/>
        </w:rPr>
        <w:t xml:space="preserve"> s</w:t>
      </w:r>
      <w:r w:rsidR="00E65C33" w:rsidRPr="00D63A90">
        <w:rPr>
          <w:rFonts w:asciiTheme="minorHAnsi" w:hAnsiTheme="minorHAnsi" w:cstheme="minorHAnsi"/>
          <w:u w:val="single"/>
        </w:rPr>
        <w:t xml:space="preserve">i richiede che venga </w:t>
      </w:r>
      <w:r w:rsidRPr="00D63A90">
        <w:rPr>
          <w:rFonts w:asciiTheme="minorHAnsi" w:hAnsiTheme="minorHAnsi" w:cstheme="minorHAnsi"/>
          <w:u w:val="single"/>
        </w:rPr>
        <w:t>attiva</w:t>
      </w:r>
      <w:r w:rsidR="00E65C33" w:rsidRPr="00D63A90">
        <w:rPr>
          <w:rFonts w:asciiTheme="minorHAnsi" w:hAnsiTheme="minorHAnsi" w:cstheme="minorHAnsi"/>
          <w:u w:val="single"/>
        </w:rPr>
        <w:t>ta</w:t>
      </w:r>
      <w:r w:rsidRPr="00D63A90">
        <w:rPr>
          <w:rFonts w:asciiTheme="minorHAnsi" w:hAnsiTheme="minorHAnsi" w:cstheme="minorHAnsi"/>
          <w:u w:val="single"/>
        </w:rPr>
        <w:t xml:space="preserve"> l’opzione commerciale </w:t>
      </w:r>
      <w:proofErr w:type="spellStart"/>
      <w:r w:rsidRPr="00D63A90">
        <w:rPr>
          <w:rFonts w:asciiTheme="minorHAnsi" w:hAnsiTheme="minorHAnsi" w:cstheme="minorHAnsi"/>
          <w:u w:val="single"/>
        </w:rPr>
        <w:t>Customer</w:t>
      </w:r>
      <w:proofErr w:type="spellEnd"/>
      <w:r w:rsidRPr="00D63A90">
        <w:rPr>
          <w:rFonts w:asciiTheme="minorHAnsi" w:hAnsiTheme="minorHAnsi" w:cstheme="minorHAnsi"/>
          <w:u w:val="single"/>
        </w:rPr>
        <w:t xml:space="preserve"> 2 </w:t>
      </w:r>
      <w:proofErr w:type="spellStart"/>
      <w:r w:rsidRPr="00D63A90">
        <w:rPr>
          <w:rFonts w:asciiTheme="minorHAnsi" w:hAnsiTheme="minorHAnsi" w:cstheme="minorHAnsi"/>
          <w:u w:val="single"/>
        </w:rPr>
        <w:t>Cloud</w:t>
      </w:r>
      <w:proofErr w:type="spellEnd"/>
      <w:r w:rsidRPr="00D63A90">
        <w:rPr>
          <w:rFonts w:asciiTheme="minorHAnsi" w:hAnsiTheme="minorHAnsi" w:cstheme="minorHAnsi"/>
          <w:u w:val="single"/>
        </w:rPr>
        <w:t>, sospende</w:t>
      </w:r>
      <w:r w:rsidR="00E65C33" w:rsidRPr="00D63A90">
        <w:rPr>
          <w:rFonts w:asciiTheme="minorHAnsi" w:hAnsiTheme="minorHAnsi" w:cstheme="minorHAnsi"/>
          <w:u w:val="single"/>
        </w:rPr>
        <w:t>ndo</w:t>
      </w:r>
      <w:r w:rsidRPr="00D63A90">
        <w:rPr>
          <w:rFonts w:asciiTheme="minorHAnsi" w:hAnsiTheme="minorHAnsi" w:cstheme="minorHAnsi"/>
          <w:u w:val="single"/>
        </w:rPr>
        <w:t xml:space="preserve"> il canone di manutenzione delle licenze on-premise</w:t>
      </w:r>
      <w:r w:rsidR="00E65C33" w:rsidRPr="00D63A90">
        <w:rPr>
          <w:rFonts w:asciiTheme="minorHAnsi" w:hAnsiTheme="minorHAnsi" w:cstheme="minorHAnsi"/>
          <w:u w:val="single"/>
        </w:rPr>
        <w:t xml:space="preserve"> dei prodotti migrati in </w:t>
      </w:r>
      <w:proofErr w:type="spellStart"/>
      <w:r w:rsidR="00E65C33" w:rsidRPr="00D63A90">
        <w:rPr>
          <w:rFonts w:asciiTheme="minorHAnsi" w:hAnsiTheme="minorHAnsi" w:cstheme="minorHAnsi"/>
          <w:u w:val="single"/>
        </w:rPr>
        <w:t>cloud</w:t>
      </w:r>
      <w:proofErr w:type="spellEnd"/>
      <w:r w:rsidRPr="00D63A90">
        <w:rPr>
          <w:rFonts w:asciiTheme="minorHAnsi" w:hAnsiTheme="minorHAnsi" w:cstheme="minorHAnsi"/>
          <w:u w:val="single"/>
        </w:rPr>
        <w:t>, e di poterle riattivare senza penali.</w:t>
      </w:r>
    </w:p>
    <w:p w14:paraId="08C20483" w14:textId="77777777" w:rsidR="00DE554B" w:rsidRDefault="004F2D2D" w:rsidP="00DE554B">
      <w:pPr>
        <w:spacing w:line="276" w:lineRule="auto"/>
        <w:jc w:val="both"/>
        <w:rPr>
          <w:rFonts w:asciiTheme="minorHAnsi" w:hAnsiTheme="minorHAnsi" w:cstheme="minorHAnsi"/>
        </w:rPr>
      </w:pPr>
      <w:r w:rsidRPr="00D63A90">
        <w:rPr>
          <w:rFonts w:asciiTheme="minorHAnsi" w:hAnsiTheme="minorHAnsi" w:cstheme="minorHAnsi"/>
          <w:u w:val="single"/>
        </w:rPr>
        <w:t xml:space="preserve">Per i servizi </w:t>
      </w:r>
      <w:proofErr w:type="spellStart"/>
      <w:r w:rsidRPr="00D63A90">
        <w:rPr>
          <w:rFonts w:asciiTheme="minorHAnsi" w:hAnsiTheme="minorHAnsi" w:cstheme="minorHAnsi"/>
          <w:u w:val="single"/>
        </w:rPr>
        <w:t>Paas</w:t>
      </w:r>
      <w:proofErr w:type="spellEnd"/>
      <w:r w:rsidRPr="00D63A90">
        <w:rPr>
          <w:rFonts w:asciiTheme="minorHAnsi" w:hAnsiTheme="minorHAnsi" w:cstheme="minorHAnsi"/>
          <w:u w:val="single"/>
        </w:rPr>
        <w:t xml:space="preserve"> si richiede di usufruire dei benefici derivanti dalla modalità ULA2CLOUD i</w:t>
      </w:r>
      <w:r w:rsidR="00D63A90">
        <w:rPr>
          <w:rFonts w:asciiTheme="minorHAnsi" w:hAnsiTheme="minorHAnsi" w:cstheme="minorHAnsi"/>
          <w:u w:val="single"/>
        </w:rPr>
        <w:t>n</w:t>
      </w:r>
      <w:r w:rsidRPr="00D63A90">
        <w:rPr>
          <w:rFonts w:asciiTheme="minorHAnsi" w:hAnsiTheme="minorHAnsi" w:cstheme="minorHAnsi"/>
          <w:u w:val="single"/>
        </w:rPr>
        <w:t xml:space="preserve"> termini di riduzione del canone di manutenzione sul contratto ULA Oracle di </w:t>
      </w:r>
      <w:proofErr w:type="spellStart"/>
      <w:r w:rsidRPr="00D63A90">
        <w:rPr>
          <w:rFonts w:asciiTheme="minorHAnsi" w:hAnsiTheme="minorHAnsi" w:cstheme="minorHAnsi"/>
          <w:u w:val="single"/>
        </w:rPr>
        <w:t>Sogei</w:t>
      </w:r>
      <w:proofErr w:type="spellEnd"/>
      <w:r w:rsidRPr="00D63A90">
        <w:rPr>
          <w:rFonts w:asciiTheme="minorHAnsi" w:hAnsiTheme="minorHAnsi" w:cstheme="minorHAnsi"/>
          <w:u w:val="single"/>
        </w:rPr>
        <w:t xml:space="preserve"> in misura pari al 50% dei costi sostenuti</w:t>
      </w:r>
      <w:r>
        <w:rPr>
          <w:rFonts w:asciiTheme="minorHAnsi" w:hAnsiTheme="minorHAnsi" w:cstheme="minorHAnsi"/>
        </w:rPr>
        <w:t>.</w:t>
      </w:r>
    </w:p>
    <w:p w14:paraId="1633CD0A" w14:textId="0EAFD25A" w:rsidR="00ED05BB" w:rsidRDefault="00ED05BB" w:rsidP="00DE554B">
      <w:pPr>
        <w:spacing w:line="276" w:lineRule="auto"/>
        <w:jc w:val="both"/>
        <w:rPr>
          <w:rFonts w:asciiTheme="minorHAnsi" w:hAnsiTheme="minorHAnsi" w:cstheme="minorHAnsi"/>
        </w:rPr>
      </w:pPr>
      <w:bookmarkStart w:id="0" w:name="_GoBack"/>
      <w:bookmarkEnd w:id="0"/>
    </w:p>
    <w:p w14:paraId="0A258291" w14:textId="77777777" w:rsidR="00ED1390" w:rsidRDefault="00ED1390" w:rsidP="00DE554B">
      <w:pPr>
        <w:spacing w:line="276" w:lineRule="auto"/>
        <w:jc w:val="both"/>
        <w:rPr>
          <w:rFonts w:asciiTheme="minorHAnsi" w:hAnsiTheme="minorHAnsi" w:cstheme="minorHAnsi"/>
        </w:rPr>
      </w:pPr>
    </w:p>
    <w:p w14:paraId="5C4DBBFE" w14:textId="77777777" w:rsidR="00DE554B" w:rsidRPr="00460249" w:rsidRDefault="00DE554B" w:rsidP="00460249">
      <w:pPr>
        <w:pStyle w:val="Paragrafoelenco"/>
        <w:numPr>
          <w:ilvl w:val="0"/>
          <w:numId w:val="14"/>
        </w:numPr>
        <w:spacing w:line="276" w:lineRule="auto"/>
        <w:jc w:val="both"/>
        <w:rPr>
          <w:rFonts w:asciiTheme="minorHAnsi" w:hAnsiTheme="minorHAnsi" w:cstheme="minorHAnsi"/>
          <w:b/>
          <w:u w:val="single"/>
        </w:rPr>
      </w:pPr>
      <w:r w:rsidRPr="00460249">
        <w:rPr>
          <w:rFonts w:asciiTheme="minorHAnsi" w:hAnsiTheme="minorHAnsi" w:cstheme="minorHAnsi"/>
          <w:b/>
          <w:u w:val="single"/>
        </w:rPr>
        <w:t xml:space="preserve">Servizi </w:t>
      </w:r>
      <w:proofErr w:type="spellStart"/>
      <w:r w:rsidRPr="00460249">
        <w:rPr>
          <w:rFonts w:asciiTheme="minorHAnsi" w:hAnsiTheme="minorHAnsi" w:cstheme="minorHAnsi"/>
          <w:b/>
          <w:u w:val="single"/>
        </w:rPr>
        <w:t>cloud</w:t>
      </w:r>
      <w:proofErr w:type="spellEnd"/>
      <w:r w:rsidRPr="00460249">
        <w:rPr>
          <w:rFonts w:asciiTheme="minorHAnsi" w:hAnsiTheme="minorHAnsi" w:cstheme="minorHAnsi"/>
          <w:b/>
          <w:u w:val="single"/>
        </w:rPr>
        <w:t xml:space="preserve"> Oracle </w:t>
      </w:r>
      <w:proofErr w:type="spellStart"/>
      <w:r w:rsidRPr="00460249">
        <w:rPr>
          <w:rFonts w:asciiTheme="minorHAnsi" w:hAnsiTheme="minorHAnsi" w:cstheme="minorHAnsi"/>
          <w:b/>
          <w:u w:val="single"/>
        </w:rPr>
        <w:t>Saas</w:t>
      </w:r>
      <w:proofErr w:type="spellEnd"/>
      <w:r w:rsidRPr="00460249">
        <w:rPr>
          <w:rFonts w:asciiTheme="minorHAnsi" w:hAnsiTheme="minorHAnsi" w:cstheme="minorHAnsi"/>
          <w:b/>
          <w:u w:val="single"/>
        </w:rPr>
        <w:t>.</w:t>
      </w:r>
    </w:p>
    <w:p w14:paraId="2D31E46E" w14:textId="77777777" w:rsidR="00460249" w:rsidRPr="00460249" w:rsidRDefault="00460249" w:rsidP="00DE554B">
      <w:pPr>
        <w:spacing w:line="276" w:lineRule="auto"/>
        <w:jc w:val="both"/>
        <w:rPr>
          <w:rFonts w:asciiTheme="minorHAnsi" w:hAnsiTheme="minorHAnsi" w:cstheme="minorHAnsi"/>
          <w:b/>
          <w:u w:val="single"/>
        </w:rPr>
      </w:pPr>
    </w:p>
    <w:tbl>
      <w:tblPr>
        <w:tblW w:w="962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5"/>
        <w:gridCol w:w="3634"/>
      </w:tblGrid>
      <w:tr w:rsidR="00DE554B" w:rsidRPr="00222639" w14:paraId="6AAF6FC8" w14:textId="77777777" w:rsidTr="00460249">
        <w:trPr>
          <w:trHeight w:val="915"/>
        </w:trPr>
        <w:tc>
          <w:tcPr>
            <w:tcW w:w="5995" w:type="dxa"/>
            <w:shd w:val="clear" w:color="auto" w:fill="auto"/>
            <w:vAlign w:val="center"/>
            <w:hideMark/>
          </w:tcPr>
          <w:p w14:paraId="6E150BAD" w14:textId="77777777" w:rsidR="00DE554B" w:rsidRPr="00222639" w:rsidRDefault="00460249">
            <w:pPr>
              <w:rPr>
                <w:rFonts w:asciiTheme="minorHAnsi" w:hAnsiTheme="minorHAnsi" w:cstheme="minorHAnsi"/>
                <w:b/>
                <w:bCs/>
                <w:color w:val="000000"/>
                <w:sz w:val="22"/>
                <w:szCs w:val="22"/>
              </w:rPr>
            </w:pPr>
            <w:r w:rsidRPr="00222639">
              <w:rPr>
                <w:rFonts w:asciiTheme="minorHAnsi" w:hAnsiTheme="minorHAnsi" w:cstheme="minorHAnsi"/>
                <w:b/>
                <w:bCs/>
                <w:color w:val="000000"/>
                <w:sz w:val="22"/>
                <w:szCs w:val="22"/>
              </w:rPr>
              <w:t>Servizio</w:t>
            </w:r>
          </w:p>
        </w:tc>
        <w:tc>
          <w:tcPr>
            <w:tcW w:w="3634" w:type="dxa"/>
            <w:shd w:val="clear" w:color="auto" w:fill="auto"/>
            <w:vAlign w:val="center"/>
            <w:hideMark/>
          </w:tcPr>
          <w:p w14:paraId="386DE322" w14:textId="77777777" w:rsidR="00DE554B" w:rsidRPr="00222639" w:rsidRDefault="00DE554B">
            <w:pPr>
              <w:jc w:val="center"/>
              <w:rPr>
                <w:rFonts w:asciiTheme="minorHAnsi" w:hAnsiTheme="minorHAnsi" w:cstheme="minorHAnsi"/>
                <w:b/>
                <w:bCs/>
                <w:color w:val="000000"/>
                <w:sz w:val="22"/>
                <w:szCs w:val="22"/>
              </w:rPr>
            </w:pPr>
            <w:r w:rsidRPr="00222639">
              <w:rPr>
                <w:rFonts w:asciiTheme="minorHAnsi" w:hAnsiTheme="minorHAnsi" w:cstheme="minorHAnsi"/>
                <w:b/>
                <w:bCs/>
                <w:color w:val="000000"/>
                <w:sz w:val="22"/>
                <w:szCs w:val="22"/>
              </w:rPr>
              <w:t>Metrica</w:t>
            </w:r>
          </w:p>
        </w:tc>
      </w:tr>
      <w:tr w:rsidR="00DE554B" w:rsidRPr="00222639" w14:paraId="17672367" w14:textId="77777777" w:rsidTr="00460249">
        <w:trPr>
          <w:trHeight w:val="315"/>
        </w:trPr>
        <w:tc>
          <w:tcPr>
            <w:tcW w:w="5995" w:type="dxa"/>
            <w:shd w:val="clear" w:color="auto" w:fill="auto"/>
            <w:noWrap/>
            <w:vAlign w:val="center"/>
            <w:hideMark/>
          </w:tcPr>
          <w:p w14:paraId="67604317"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B91079 - Oracle Fusion Enterprise Resource Planning Cloud Service - Hosted Named User</w:t>
            </w:r>
          </w:p>
        </w:tc>
        <w:tc>
          <w:tcPr>
            <w:tcW w:w="3634" w:type="dxa"/>
            <w:shd w:val="clear" w:color="auto" w:fill="auto"/>
            <w:noWrap/>
            <w:vAlign w:val="center"/>
            <w:hideMark/>
          </w:tcPr>
          <w:p w14:paraId="72FAB7B9"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DE554B" w:rsidRPr="00222639" w14:paraId="1E032BC6" w14:textId="77777777" w:rsidTr="00460249">
        <w:trPr>
          <w:trHeight w:val="315"/>
        </w:trPr>
        <w:tc>
          <w:tcPr>
            <w:tcW w:w="5995" w:type="dxa"/>
            <w:shd w:val="clear" w:color="auto" w:fill="auto"/>
            <w:noWrap/>
            <w:vAlign w:val="center"/>
            <w:hideMark/>
          </w:tcPr>
          <w:p w14:paraId="6AC5EF2C"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B91080 - Oracle Fusion Enterprise Resource Planning Self Service</w:t>
            </w:r>
          </w:p>
        </w:tc>
        <w:tc>
          <w:tcPr>
            <w:tcW w:w="3634" w:type="dxa"/>
            <w:shd w:val="clear" w:color="auto" w:fill="auto"/>
            <w:noWrap/>
            <w:vAlign w:val="center"/>
            <w:hideMark/>
          </w:tcPr>
          <w:p w14:paraId="46755322"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DE554B" w:rsidRPr="00222639" w14:paraId="193BB3EC" w14:textId="77777777" w:rsidTr="00460249">
        <w:trPr>
          <w:trHeight w:val="315"/>
        </w:trPr>
        <w:tc>
          <w:tcPr>
            <w:tcW w:w="5995" w:type="dxa"/>
            <w:shd w:val="clear" w:color="auto" w:fill="auto"/>
            <w:noWrap/>
            <w:vAlign w:val="center"/>
            <w:hideMark/>
          </w:tcPr>
          <w:p w14:paraId="7AB31E66" w14:textId="77777777" w:rsidR="00DE554B" w:rsidRPr="00222639" w:rsidRDefault="00DE554B">
            <w:pP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B91082 - Oracle Fusion </w:t>
            </w:r>
            <w:proofErr w:type="spellStart"/>
            <w:r w:rsidRPr="00222639">
              <w:rPr>
                <w:rFonts w:asciiTheme="minorHAnsi" w:hAnsiTheme="minorHAnsi" w:cstheme="minorHAnsi"/>
                <w:color w:val="000000"/>
                <w:sz w:val="22"/>
                <w:szCs w:val="22"/>
              </w:rPr>
              <w:t>Procurement</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Cloud</w:t>
            </w:r>
            <w:proofErr w:type="spellEnd"/>
            <w:r w:rsidRPr="00222639">
              <w:rPr>
                <w:rFonts w:asciiTheme="minorHAnsi" w:hAnsiTheme="minorHAnsi" w:cstheme="minorHAnsi"/>
                <w:color w:val="000000"/>
                <w:sz w:val="22"/>
                <w:szCs w:val="22"/>
              </w:rPr>
              <w:t xml:space="preserve"> Service</w:t>
            </w:r>
          </w:p>
        </w:tc>
        <w:tc>
          <w:tcPr>
            <w:tcW w:w="3634" w:type="dxa"/>
            <w:shd w:val="clear" w:color="auto" w:fill="auto"/>
            <w:noWrap/>
            <w:vAlign w:val="center"/>
            <w:hideMark/>
          </w:tcPr>
          <w:p w14:paraId="44A2163B"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DE554B" w:rsidRPr="00222639" w14:paraId="0073C48B" w14:textId="77777777" w:rsidTr="00460249">
        <w:trPr>
          <w:trHeight w:val="315"/>
        </w:trPr>
        <w:tc>
          <w:tcPr>
            <w:tcW w:w="5995" w:type="dxa"/>
            <w:shd w:val="clear" w:color="auto" w:fill="auto"/>
            <w:noWrap/>
            <w:vAlign w:val="center"/>
            <w:hideMark/>
          </w:tcPr>
          <w:p w14:paraId="22721A16"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 xml:space="preserve">B91083 Oracle Fusion Procurement for Self Service Cloud Service </w:t>
            </w:r>
          </w:p>
        </w:tc>
        <w:tc>
          <w:tcPr>
            <w:tcW w:w="3634" w:type="dxa"/>
            <w:shd w:val="clear" w:color="auto" w:fill="auto"/>
            <w:noWrap/>
            <w:vAlign w:val="center"/>
            <w:hideMark/>
          </w:tcPr>
          <w:p w14:paraId="0E5F7E0F"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DE554B" w:rsidRPr="00222639" w14:paraId="47749B32" w14:textId="77777777" w:rsidTr="00460249">
        <w:trPr>
          <w:trHeight w:val="315"/>
        </w:trPr>
        <w:tc>
          <w:tcPr>
            <w:tcW w:w="5995" w:type="dxa"/>
            <w:shd w:val="clear" w:color="auto" w:fill="auto"/>
            <w:noWrap/>
            <w:vAlign w:val="center"/>
            <w:hideMark/>
          </w:tcPr>
          <w:p w14:paraId="7447B9B9"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B91057 - Oracle Fusion Supply Chain Execution Cloud Service</w:t>
            </w:r>
          </w:p>
        </w:tc>
        <w:tc>
          <w:tcPr>
            <w:tcW w:w="3634" w:type="dxa"/>
            <w:shd w:val="clear" w:color="auto" w:fill="auto"/>
            <w:noWrap/>
            <w:vAlign w:val="center"/>
            <w:hideMark/>
          </w:tcPr>
          <w:p w14:paraId="7EACD502"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DE554B" w:rsidRPr="00222639" w14:paraId="1C40A873" w14:textId="77777777" w:rsidTr="00460249">
        <w:trPr>
          <w:trHeight w:val="315"/>
        </w:trPr>
        <w:tc>
          <w:tcPr>
            <w:tcW w:w="5995" w:type="dxa"/>
            <w:shd w:val="clear" w:color="auto" w:fill="auto"/>
            <w:noWrap/>
            <w:vAlign w:val="center"/>
            <w:hideMark/>
          </w:tcPr>
          <w:p w14:paraId="5F72B58A"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B91055 Oracle Fusion Order Management Cloud Service</w:t>
            </w:r>
          </w:p>
        </w:tc>
        <w:tc>
          <w:tcPr>
            <w:tcW w:w="3634" w:type="dxa"/>
            <w:shd w:val="clear" w:color="auto" w:fill="auto"/>
            <w:noWrap/>
            <w:vAlign w:val="center"/>
            <w:hideMark/>
          </w:tcPr>
          <w:p w14:paraId="4EAB49F2"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DE554B" w:rsidRPr="00222639" w14:paraId="0E5200DC" w14:textId="77777777" w:rsidTr="00460249">
        <w:trPr>
          <w:trHeight w:val="315"/>
        </w:trPr>
        <w:tc>
          <w:tcPr>
            <w:tcW w:w="5995" w:type="dxa"/>
            <w:shd w:val="clear" w:color="auto" w:fill="auto"/>
            <w:noWrap/>
            <w:vAlign w:val="center"/>
            <w:hideMark/>
          </w:tcPr>
          <w:p w14:paraId="778B0DF4"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lastRenderedPageBreak/>
              <w:t>B84490 Oracle Additional Test Environment for Oracle Fusion Cloud Service</w:t>
            </w:r>
          </w:p>
        </w:tc>
        <w:tc>
          <w:tcPr>
            <w:tcW w:w="3634" w:type="dxa"/>
            <w:shd w:val="clear" w:color="auto" w:fill="auto"/>
            <w:noWrap/>
            <w:vAlign w:val="center"/>
            <w:hideMark/>
          </w:tcPr>
          <w:p w14:paraId="2CA3431A" w14:textId="77777777" w:rsidR="00DE554B" w:rsidRPr="00222639" w:rsidRDefault="00DE554B">
            <w:pPr>
              <w:jc w:val="center"/>
              <w:rPr>
                <w:rFonts w:asciiTheme="minorHAnsi" w:hAnsiTheme="minorHAnsi" w:cstheme="minorHAnsi"/>
                <w:color w:val="000000"/>
                <w:sz w:val="22"/>
                <w:szCs w:val="22"/>
              </w:rPr>
            </w:pPr>
            <w:proofErr w:type="spellStart"/>
            <w:r w:rsidRPr="00222639">
              <w:rPr>
                <w:rFonts w:asciiTheme="minorHAnsi" w:hAnsiTheme="minorHAnsi" w:cstheme="minorHAnsi"/>
                <w:color w:val="000000"/>
                <w:sz w:val="22"/>
                <w:szCs w:val="22"/>
              </w:rPr>
              <w:t>Each</w:t>
            </w:r>
            <w:proofErr w:type="spellEnd"/>
          </w:p>
        </w:tc>
      </w:tr>
      <w:tr w:rsidR="00DE554B" w:rsidRPr="00222639" w14:paraId="5A1A191C" w14:textId="77777777" w:rsidTr="00460249">
        <w:trPr>
          <w:trHeight w:val="315"/>
        </w:trPr>
        <w:tc>
          <w:tcPr>
            <w:tcW w:w="5995" w:type="dxa"/>
            <w:shd w:val="clear" w:color="auto" w:fill="auto"/>
            <w:noWrap/>
            <w:vAlign w:val="center"/>
            <w:hideMark/>
          </w:tcPr>
          <w:p w14:paraId="7AF7A52D"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 xml:space="preserve">B85679 Oracle Database Vault and Break Glass for Fusion Cloud Service </w:t>
            </w:r>
          </w:p>
        </w:tc>
        <w:tc>
          <w:tcPr>
            <w:tcW w:w="3634" w:type="dxa"/>
            <w:shd w:val="clear" w:color="auto" w:fill="auto"/>
            <w:noWrap/>
            <w:vAlign w:val="center"/>
            <w:hideMark/>
          </w:tcPr>
          <w:p w14:paraId="0988A477" w14:textId="77777777" w:rsidR="00DE554B" w:rsidRPr="00222639" w:rsidRDefault="00DE554B">
            <w:pPr>
              <w:jc w:val="center"/>
              <w:rPr>
                <w:rFonts w:asciiTheme="minorHAnsi" w:hAnsiTheme="minorHAnsi" w:cstheme="minorHAnsi"/>
                <w:color w:val="000000"/>
                <w:sz w:val="22"/>
                <w:szCs w:val="22"/>
              </w:rPr>
            </w:pPr>
            <w:proofErr w:type="spellStart"/>
            <w:r w:rsidRPr="00222639">
              <w:rPr>
                <w:rFonts w:asciiTheme="minorHAnsi" w:hAnsiTheme="minorHAnsi" w:cstheme="minorHAnsi"/>
                <w:color w:val="000000"/>
                <w:sz w:val="22"/>
                <w:szCs w:val="22"/>
              </w:rPr>
              <w:t>Each</w:t>
            </w:r>
            <w:proofErr w:type="spellEnd"/>
          </w:p>
        </w:tc>
      </w:tr>
      <w:tr w:rsidR="00DE554B" w:rsidRPr="00222639" w14:paraId="05FD2968" w14:textId="77777777" w:rsidTr="00460249">
        <w:trPr>
          <w:trHeight w:val="315"/>
        </w:trPr>
        <w:tc>
          <w:tcPr>
            <w:tcW w:w="5995" w:type="dxa"/>
            <w:shd w:val="clear" w:color="auto" w:fill="auto"/>
            <w:noWrap/>
            <w:vAlign w:val="center"/>
            <w:hideMark/>
          </w:tcPr>
          <w:p w14:paraId="364223A2"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B85243 Oracle Data Masking for Fusion Cloud Services</w:t>
            </w:r>
          </w:p>
        </w:tc>
        <w:tc>
          <w:tcPr>
            <w:tcW w:w="3634" w:type="dxa"/>
            <w:shd w:val="clear" w:color="auto" w:fill="auto"/>
            <w:noWrap/>
            <w:vAlign w:val="center"/>
            <w:hideMark/>
          </w:tcPr>
          <w:p w14:paraId="225DDD3D" w14:textId="77777777" w:rsidR="00DE554B" w:rsidRPr="00222639" w:rsidRDefault="00DE554B">
            <w:pPr>
              <w:jc w:val="center"/>
              <w:rPr>
                <w:rFonts w:asciiTheme="minorHAnsi" w:hAnsiTheme="minorHAnsi" w:cstheme="minorHAnsi"/>
                <w:color w:val="000000"/>
                <w:sz w:val="22"/>
                <w:szCs w:val="22"/>
              </w:rPr>
            </w:pPr>
            <w:proofErr w:type="spellStart"/>
            <w:r w:rsidRPr="00222639">
              <w:rPr>
                <w:rFonts w:asciiTheme="minorHAnsi" w:hAnsiTheme="minorHAnsi" w:cstheme="minorHAnsi"/>
                <w:color w:val="000000"/>
                <w:sz w:val="22"/>
                <w:szCs w:val="22"/>
              </w:rPr>
              <w:t>Each</w:t>
            </w:r>
            <w:proofErr w:type="spellEnd"/>
          </w:p>
        </w:tc>
      </w:tr>
      <w:tr w:rsidR="00DE554B" w:rsidRPr="00222639" w14:paraId="41D7DE82" w14:textId="77777777" w:rsidTr="00460249">
        <w:trPr>
          <w:trHeight w:val="315"/>
        </w:trPr>
        <w:tc>
          <w:tcPr>
            <w:tcW w:w="5995" w:type="dxa"/>
            <w:shd w:val="clear" w:color="auto" w:fill="FFFFFF" w:themeFill="background1"/>
            <w:noWrap/>
            <w:vAlign w:val="center"/>
            <w:hideMark/>
          </w:tcPr>
          <w:p w14:paraId="5C2A2FC1"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B91073 - Oracle Enterprise Performance Management Standard Cloud Service</w:t>
            </w:r>
          </w:p>
        </w:tc>
        <w:tc>
          <w:tcPr>
            <w:tcW w:w="3634" w:type="dxa"/>
            <w:shd w:val="clear" w:color="auto" w:fill="auto"/>
            <w:noWrap/>
            <w:vAlign w:val="center"/>
            <w:hideMark/>
          </w:tcPr>
          <w:p w14:paraId="5976E910"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DE554B" w:rsidRPr="00222639" w14:paraId="053A7A3D" w14:textId="77777777" w:rsidTr="00460249">
        <w:trPr>
          <w:trHeight w:val="315"/>
        </w:trPr>
        <w:tc>
          <w:tcPr>
            <w:tcW w:w="5995" w:type="dxa"/>
            <w:shd w:val="clear" w:color="auto" w:fill="auto"/>
            <w:noWrap/>
            <w:vAlign w:val="bottom"/>
            <w:hideMark/>
          </w:tcPr>
          <w:p w14:paraId="117FF6F3"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 xml:space="preserve">B91076 Oracle Additional Application for Oracle Enterprise Performance Management Standard </w:t>
            </w:r>
          </w:p>
        </w:tc>
        <w:tc>
          <w:tcPr>
            <w:tcW w:w="3634" w:type="dxa"/>
            <w:shd w:val="clear" w:color="auto" w:fill="auto"/>
            <w:noWrap/>
            <w:vAlign w:val="center"/>
            <w:hideMark/>
          </w:tcPr>
          <w:p w14:paraId="753173F5" w14:textId="77777777" w:rsidR="00DE554B" w:rsidRPr="00222639" w:rsidRDefault="00DE554B">
            <w:pPr>
              <w:jc w:val="center"/>
              <w:rPr>
                <w:rFonts w:asciiTheme="minorHAnsi" w:hAnsiTheme="minorHAnsi" w:cstheme="minorHAnsi"/>
                <w:color w:val="000000"/>
                <w:sz w:val="22"/>
                <w:szCs w:val="22"/>
              </w:rPr>
            </w:pPr>
            <w:proofErr w:type="spellStart"/>
            <w:r w:rsidRPr="00222639">
              <w:rPr>
                <w:rFonts w:asciiTheme="minorHAnsi" w:hAnsiTheme="minorHAnsi" w:cstheme="minorHAnsi"/>
                <w:color w:val="000000"/>
                <w:sz w:val="22"/>
                <w:szCs w:val="22"/>
              </w:rPr>
              <w:t>Each</w:t>
            </w:r>
            <w:proofErr w:type="spellEnd"/>
          </w:p>
        </w:tc>
      </w:tr>
      <w:tr w:rsidR="00DE554B" w:rsidRPr="00222639" w14:paraId="525A53AB" w14:textId="77777777" w:rsidTr="00460249">
        <w:trPr>
          <w:trHeight w:val="315"/>
        </w:trPr>
        <w:tc>
          <w:tcPr>
            <w:tcW w:w="5995" w:type="dxa"/>
            <w:shd w:val="clear" w:color="auto" w:fill="auto"/>
            <w:noWrap/>
            <w:vAlign w:val="center"/>
            <w:hideMark/>
          </w:tcPr>
          <w:p w14:paraId="2F702FEE" w14:textId="77777777" w:rsidR="00DE554B" w:rsidRPr="00222639" w:rsidRDefault="00DE554B">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B75721 - CPQ Enterprise Edition Cloud Service</w:t>
            </w:r>
          </w:p>
        </w:tc>
        <w:tc>
          <w:tcPr>
            <w:tcW w:w="3634" w:type="dxa"/>
            <w:shd w:val="clear" w:color="auto" w:fill="auto"/>
            <w:noWrap/>
            <w:vAlign w:val="center"/>
            <w:hideMark/>
          </w:tcPr>
          <w:p w14:paraId="7DEB9905" w14:textId="77777777" w:rsidR="00DE554B" w:rsidRPr="00222639" w:rsidRDefault="00DE554B">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460249" w:rsidRPr="00222639" w14:paraId="066492F1" w14:textId="77777777" w:rsidTr="00F94E82">
        <w:trPr>
          <w:trHeight w:val="315"/>
        </w:trPr>
        <w:tc>
          <w:tcPr>
            <w:tcW w:w="59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48B4E3" w14:textId="77777777" w:rsidR="00460249" w:rsidRPr="00222639" w:rsidRDefault="00460249" w:rsidP="00460249">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 xml:space="preserve">B88488 - Oracle </w:t>
            </w:r>
            <w:proofErr w:type="spellStart"/>
            <w:r w:rsidRPr="00222639">
              <w:rPr>
                <w:rFonts w:asciiTheme="minorHAnsi" w:hAnsiTheme="minorHAnsi" w:cstheme="minorHAnsi"/>
                <w:color w:val="000000"/>
                <w:sz w:val="22"/>
                <w:szCs w:val="22"/>
                <w:lang w:val="en-US"/>
              </w:rPr>
              <w:t>RightNow</w:t>
            </w:r>
            <w:proofErr w:type="spellEnd"/>
            <w:r w:rsidRPr="00222639">
              <w:rPr>
                <w:rFonts w:asciiTheme="minorHAnsi" w:hAnsiTheme="minorHAnsi" w:cstheme="minorHAnsi"/>
                <w:color w:val="000000"/>
                <w:sz w:val="22"/>
                <w:szCs w:val="22"/>
                <w:lang w:val="en-US"/>
              </w:rPr>
              <w:t xml:space="preserve"> Enterprise Contact Center Dynamic Agent Desktop Cloud Service</w:t>
            </w:r>
          </w:p>
        </w:tc>
        <w:tc>
          <w:tcPr>
            <w:tcW w:w="3634" w:type="dxa"/>
            <w:shd w:val="clear" w:color="auto" w:fill="auto"/>
            <w:noWrap/>
            <w:vAlign w:val="center"/>
            <w:hideMark/>
          </w:tcPr>
          <w:p w14:paraId="76506CA3" w14:textId="77777777" w:rsidR="00460249" w:rsidRPr="00222639" w:rsidRDefault="00460249" w:rsidP="00460249">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460249" w:rsidRPr="00222639" w14:paraId="52898FC0" w14:textId="77777777" w:rsidTr="00F94E82">
        <w:trPr>
          <w:trHeight w:val="315"/>
        </w:trPr>
        <w:tc>
          <w:tcPr>
            <w:tcW w:w="5995" w:type="dxa"/>
            <w:tcBorders>
              <w:top w:val="nil"/>
              <w:left w:val="single" w:sz="8" w:space="0" w:color="auto"/>
              <w:bottom w:val="single" w:sz="4" w:space="0" w:color="auto"/>
              <w:right w:val="single" w:sz="4" w:space="0" w:color="auto"/>
            </w:tcBorders>
            <w:shd w:val="clear" w:color="auto" w:fill="auto"/>
            <w:noWrap/>
            <w:vAlign w:val="center"/>
            <w:hideMark/>
          </w:tcPr>
          <w:p w14:paraId="5B65E66A" w14:textId="77777777" w:rsidR="00460249" w:rsidRPr="00222639" w:rsidRDefault="00460249" w:rsidP="00460249">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B90335 - Oracle Field Service Enterprise Cloud Service</w:t>
            </w:r>
          </w:p>
        </w:tc>
        <w:tc>
          <w:tcPr>
            <w:tcW w:w="3634" w:type="dxa"/>
            <w:shd w:val="clear" w:color="auto" w:fill="auto"/>
            <w:noWrap/>
            <w:vAlign w:val="center"/>
            <w:hideMark/>
          </w:tcPr>
          <w:p w14:paraId="6F45598E" w14:textId="77777777" w:rsidR="00460249" w:rsidRPr="00222639" w:rsidRDefault="00460249" w:rsidP="00460249">
            <w:pPr>
              <w:jc w:val="center"/>
              <w:rPr>
                <w:rFonts w:asciiTheme="minorHAnsi" w:hAnsiTheme="minorHAnsi" w:cstheme="minorHAnsi"/>
                <w:color w:val="000000"/>
                <w:sz w:val="22"/>
                <w:szCs w:val="22"/>
              </w:rPr>
            </w:pPr>
            <w:r w:rsidRPr="00222639">
              <w:rPr>
                <w:rFonts w:asciiTheme="minorHAnsi" w:hAnsiTheme="minorHAnsi" w:cstheme="minorHAnsi"/>
                <w:color w:val="000000"/>
                <w:sz w:val="22"/>
                <w:szCs w:val="22"/>
              </w:rPr>
              <w:t xml:space="preserve">Service - </w:t>
            </w:r>
            <w:proofErr w:type="spellStart"/>
            <w:r w:rsidRPr="00222639">
              <w:rPr>
                <w:rFonts w:asciiTheme="minorHAnsi" w:hAnsiTheme="minorHAnsi" w:cstheme="minorHAnsi"/>
                <w:color w:val="000000"/>
                <w:sz w:val="22"/>
                <w:szCs w:val="22"/>
              </w:rPr>
              <w:t>Hosted</w:t>
            </w:r>
            <w:proofErr w:type="spellEnd"/>
            <w:r w:rsidRPr="00222639">
              <w:rPr>
                <w:rFonts w:asciiTheme="minorHAnsi" w:hAnsiTheme="minorHAnsi" w:cstheme="minorHAnsi"/>
                <w:color w:val="000000"/>
                <w:sz w:val="22"/>
                <w:szCs w:val="22"/>
              </w:rPr>
              <w:t xml:space="preserve"> </w:t>
            </w:r>
            <w:proofErr w:type="spellStart"/>
            <w:r w:rsidRPr="00222639">
              <w:rPr>
                <w:rFonts w:asciiTheme="minorHAnsi" w:hAnsiTheme="minorHAnsi" w:cstheme="minorHAnsi"/>
                <w:color w:val="000000"/>
                <w:sz w:val="22"/>
                <w:szCs w:val="22"/>
              </w:rPr>
              <w:t>Named</w:t>
            </w:r>
            <w:proofErr w:type="spellEnd"/>
            <w:r w:rsidRPr="00222639">
              <w:rPr>
                <w:rFonts w:asciiTheme="minorHAnsi" w:hAnsiTheme="minorHAnsi" w:cstheme="minorHAnsi"/>
                <w:color w:val="000000"/>
                <w:sz w:val="22"/>
                <w:szCs w:val="22"/>
              </w:rPr>
              <w:t xml:space="preserve"> User</w:t>
            </w:r>
          </w:p>
        </w:tc>
      </w:tr>
      <w:tr w:rsidR="00460249" w:rsidRPr="00222639" w14:paraId="58410228" w14:textId="77777777" w:rsidTr="00F94E82">
        <w:trPr>
          <w:trHeight w:val="315"/>
        </w:trPr>
        <w:tc>
          <w:tcPr>
            <w:tcW w:w="5995" w:type="dxa"/>
            <w:tcBorders>
              <w:top w:val="nil"/>
              <w:left w:val="single" w:sz="8" w:space="0" w:color="auto"/>
              <w:bottom w:val="single" w:sz="4" w:space="0" w:color="auto"/>
              <w:right w:val="single" w:sz="4" w:space="0" w:color="auto"/>
            </w:tcBorders>
            <w:shd w:val="clear" w:color="auto" w:fill="auto"/>
            <w:noWrap/>
            <w:vAlign w:val="center"/>
            <w:hideMark/>
          </w:tcPr>
          <w:p w14:paraId="025C99A3" w14:textId="77777777" w:rsidR="00460249" w:rsidRPr="00222639" w:rsidRDefault="00460249" w:rsidP="00460249">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B75727 - CPQ Shared Test Environment Cloud Service</w:t>
            </w:r>
          </w:p>
        </w:tc>
        <w:tc>
          <w:tcPr>
            <w:tcW w:w="3634" w:type="dxa"/>
            <w:shd w:val="clear" w:color="auto" w:fill="auto"/>
            <w:noWrap/>
            <w:vAlign w:val="center"/>
            <w:hideMark/>
          </w:tcPr>
          <w:p w14:paraId="357EB05F" w14:textId="77777777" w:rsidR="00460249" w:rsidRPr="00222639" w:rsidRDefault="00460249" w:rsidP="00460249">
            <w:pPr>
              <w:jc w:val="center"/>
              <w:rPr>
                <w:rFonts w:asciiTheme="minorHAnsi" w:hAnsiTheme="minorHAnsi" w:cstheme="minorHAnsi"/>
                <w:color w:val="000000"/>
                <w:sz w:val="22"/>
                <w:szCs w:val="22"/>
              </w:rPr>
            </w:pPr>
            <w:proofErr w:type="spellStart"/>
            <w:r w:rsidRPr="00222639">
              <w:rPr>
                <w:rFonts w:asciiTheme="minorHAnsi" w:hAnsiTheme="minorHAnsi" w:cstheme="minorHAnsi"/>
                <w:color w:val="000000"/>
                <w:sz w:val="22"/>
                <w:szCs w:val="22"/>
              </w:rPr>
              <w:t>Each</w:t>
            </w:r>
            <w:proofErr w:type="spellEnd"/>
            <w:r w:rsidRPr="00222639">
              <w:rPr>
                <w:rFonts w:asciiTheme="minorHAnsi" w:hAnsiTheme="minorHAnsi" w:cstheme="minorHAnsi"/>
                <w:color w:val="000000"/>
                <w:sz w:val="22"/>
                <w:szCs w:val="22"/>
              </w:rPr>
              <w:t>/</w:t>
            </w:r>
            <w:proofErr w:type="spellStart"/>
            <w:r w:rsidRPr="00222639">
              <w:rPr>
                <w:rFonts w:asciiTheme="minorHAnsi" w:hAnsiTheme="minorHAnsi" w:cstheme="minorHAnsi"/>
                <w:color w:val="000000"/>
                <w:sz w:val="22"/>
                <w:szCs w:val="22"/>
              </w:rPr>
              <w:t>Mounth</w:t>
            </w:r>
            <w:proofErr w:type="spellEnd"/>
          </w:p>
        </w:tc>
      </w:tr>
      <w:tr w:rsidR="00460249" w:rsidRPr="00222639" w14:paraId="56561C70" w14:textId="77777777" w:rsidTr="00F94E82">
        <w:trPr>
          <w:trHeight w:val="315"/>
        </w:trPr>
        <w:tc>
          <w:tcPr>
            <w:tcW w:w="5995" w:type="dxa"/>
            <w:tcBorders>
              <w:top w:val="nil"/>
              <w:left w:val="single" w:sz="8" w:space="0" w:color="auto"/>
              <w:bottom w:val="single" w:sz="4" w:space="0" w:color="auto"/>
              <w:right w:val="single" w:sz="4" w:space="0" w:color="auto"/>
            </w:tcBorders>
            <w:shd w:val="clear" w:color="auto" w:fill="auto"/>
            <w:noWrap/>
            <w:vAlign w:val="center"/>
            <w:hideMark/>
          </w:tcPr>
          <w:p w14:paraId="50FC9A9D" w14:textId="77777777" w:rsidR="00460249" w:rsidRPr="00222639" w:rsidRDefault="00460249" w:rsidP="00460249">
            <w:pPr>
              <w:rPr>
                <w:rFonts w:asciiTheme="minorHAnsi" w:hAnsiTheme="minorHAnsi" w:cstheme="minorHAnsi"/>
                <w:color w:val="000000"/>
                <w:sz w:val="22"/>
                <w:szCs w:val="22"/>
                <w:lang w:val="en-US"/>
              </w:rPr>
            </w:pPr>
            <w:r w:rsidRPr="00222639">
              <w:rPr>
                <w:rFonts w:asciiTheme="minorHAnsi" w:hAnsiTheme="minorHAnsi" w:cstheme="minorHAnsi"/>
                <w:color w:val="000000"/>
                <w:sz w:val="22"/>
                <w:szCs w:val="22"/>
                <w:lang w:val="en-US"/>
              </w:rPr>
              <w:t xml:space="preserve">B70790 - Oracle Additional Test Environment for Oracle </w:t>
            </w:r>
            <w:proofErr w:type="spellStart"/>
            <w:r w:rsidRPr="00222639">
              <w:rPr>
                <w:rFonts w:asciiTheme="minorHAnsi" w:hAnsiTheme="minorHAnsi" w:cstheme="minorHAnsi"/>
                <w:color w:val="000000"/>
                <w:sz w:val="22"/>
                <w:szCs w:val="22"/>
                <w:lang w:val="en-US"/>
              </w:rPr>
              <w:t>RightNow</w:t>
            </w:r>
            <w:proofErr w:type="spellEnd"/>
            <w:r w:rsidRPr="00222639">
              <w:rPr>
                <w:rFonts w:asciiTheme="minorHAnsi" w:hAnsiTheme="minorHAnsi" w:cstheme="minorHAnsi"/>
                <w:color w:val="000000"/>
                <w:sz w:val="22"/>
                <w:szCs w:val="22"/>
                <w:lang w:val="en-US"/>
              </w:rPr>
              <w:t xml:space="preserve"> Cloud Service</w:t>
            </w:r>
          </w:p>
        </w:tc>
        <w:tc>
          <w:tcPr>
            <w:tcW w:w="3634" w:type="dxa"/>
            <w:shd w:val="clear" w:color="auto" w:fill="auto"/>
            <w:noWrap/>
            <w:vAlign w:val="center"/>
            <w:hideMark/>
          </w:tcPr>
          <w:p w14:paraId="05C449F6" w14:textId="77777777" w:rsidR="00460249" w:rsidRPr="00222639" w:rsidRDefault="00460249" w:rsidP="00460249">
            <w:pPr>
              <w:jc w:val="center"/>
              <w:rPr>
                <w:rFonts w:asciiTheme="minorHAnsi" w:hAnsiTheme="minorHAnsi" w:cstheme="minorHAnsi"/>
                <w:color w:val="000000"/>
                <w:sz w:val="22"/>
                <w:szCs w:val="22"/>
              </w:rPr>
            </w:pPr>
            <w:proofErr w:type="spellStart"/>
            <w:r w:rsidRPr="00222639">
              <w:rPr>
                <w:rFonts w:asciiTheme="minorHAnsi" w:hAnsiTheme="minorHAnsi" w:cstheme="minorHAnsi"/>
                <w:color w:val="000000"/>
                <w:sz w:val="22"/>
                <w:szCs w:val="22"/>
              </w:rPr>
              <w:t>Each</w:t>
            </w:r>
            <w:proofErr w:type="spellEnd"/>
            <w:r w:rsidRPr="00222639">
              <w:rPr>
                <w:rFonts w:asciiTheme="minorHAnsi" w:hAnsiTheme="minorHAnsi" w:cstheme="minorHAnsi"/>
                <w:color w:val="000000"/>
                <w:sz w:val="22"/>
                <w:szCs w:val="22"/>
              </w:rPr>
              <w:t>/</w:t>
            </w:r>
            <w:proofErr w:type="spellStart"/>
            <w:r w:rsidRPr="00222639">
              <w:rPr>
                <w:rFonts w:asciiTheme="minorHAnsi" w:hAnsiTheme="minorHAnsi" w:cstheme="minorHAnsi"/>
                <w:color w:val="000000"/>
                <w:sz w:val="22"/>
                <w:szCs w:val="22"/>
              </w:rPr>
              <w:t>Mounth</w:t>
            </w:r>
            <w:proofErr w:type="spellEnd"/>
          </w:p>
        </w:tc>
      </w:tr>
      <w:tr w:rsidR="00460249" w14:paraId="0A2FFAAA" w14:textId="77777777" w:rsidTr="00F94E82">
        <w:trPr>
          <w:trHeight w:val="300"/>
        </w:trPr>
        <w:tc>
          <w:tcPr>
            <w:tcW w:w="5995" w:type="dxa"/>
            <w:tcBorders>
              <w:top w:val="nil"/>
              <w:left w:val="single" w:sz="8" w:space="0" w:color="auto"/>
              <w:bottom w:val="single" w:sz="4" w:space="0" w:color="auto"/>
              <w:right w:val="single" w:sz="4" w:space="0" w:color="auto"/>
            </w:tcBorders>
            <w:shd w:val="clear" w:color="auto" w:fill="auto"/>
            <w:noWrap/>
            <w:vAlign w:val="center"/>
            <w:hideMark/>
          </w:tcPr>
          <w:p w14:paraId="408DC5C3" w14:textId="77777777" w:rsidR="00460249" w:rsidRPr="00460249" w:rsidRDefault="00460249" w:rsidP="00460249">
            <w:pPr>
              <w:rPr>
                <w:rFonts w:ascii="Calibri" w:hAnsi="Calibri" w:cs="Calibri"/>
                <w:color w:val="000000"/>
                <w:sz w:val="22"/>
                <w:szCs w:val="22"/>
                <w:lang w:val="en-US"/>
              </w:rPr>
            </w:pPr>
            <w:r w:rsidRPr="00460249">
              <w:rPr>
                <w:rFonts w:ascii="Calibri" w:hAnsi="Calibri" w:cs="Calibri"/>
                <w:color w:val="000000"/>
                <w:sz w:val="22"/>
                <w:szCs w:val="22"/>
                <w:lang w:val="en-US"/>
              </w:rPr>
              <w:t xml:space="preserve">B79903 - Oracle Additional Test Environment for Oracle Field Service Cloud Service </w:t>
            </w:r>
          </w:p>
        </w:tc>
        <w:tc>
          <w:tcPr>
            <w:tcW w:w="3634" w:type="dxa"/>
            <w:shd w:val="clear" w:color="auto" w:fill="auto"/>
            <w:noWrap/>
            <w:vAlign w:val="center"/>
            <w:hideMark/>
          </w:tcPr>
          <w:p w14:paraId="19E891D9" w14:textId="77777777" w:rsidR="00460249" w:rsidRDefault="00460249" w:rsidP="00460249">
            <w:pPr>
              <w:jc w:val="center"/>
              <w:rPr>
                <w:rFonts w:ascii="Calibri" w:hAnsi="Calibri" w:cs="Calibri"/>
                <w:color w:val="000000"/>
                <w:sz w:val="22"/>
                <w:szCs w:val="22"/>
              </w:rPr>
            </w:pPr>
            <w:proofErr w:type="spellStart"/>
            <w:r>
              <w:rPr>
                <w:rFonts w:ascii="Calibri" w:hAnsi="Calibri" w:cs="Calibri"/>
                <w:color w:val="000000"/>
                <w:sz w:val="22"/>
                <w:szCs w:val="22"/>
              </w:rPr>
              <w:t>Each</w:t>
            </w:r>
            <w:proofErr w:type="spellEnd"/>
            <w:r>
              <w:rPr>
                <w:rFonts w:ascii="Calibri" w:hAnsi="Calibri" w:cs="Calibri"/>
                <w:color w:val="000000"/>
                <w:sz w:val="22"/>
                <w:szCs w:val="22"/>
              </w:rPr>
              <w:t>/</w:t>
            </w:r>
            <w:proofErr w:type="spellStart"/>
            <w:r>
              <w:rPr>
                <w:rFonts w:ascii="Calibri" w:hAnsi="Calibri" w:cs="Calibri"/>
                <w:color w:val="000000"/>
                <w:sz w:val="22"/>
                <w:szCs w:val="22"/>
              </w:rPr>
              <w:t>Mounth</w:t>
            </w:r>
            <w:proofErr w:type="spellEnd"/>
          </w:p>
        </w:tc>
      </w:tr>
    </w:tbl>
    <w:p w14:paraId="6DB01483" w14:textId="77777777" w:rsidR="00DE554B" w:rsidRDefault="00DE554B" w:rsidP="00DE554B">
      <w:pPr>
        <w:spacing w:line="276" w:lineRule="auto"/>
        <w:jc w:val="both"/>
        <w:rPr>
          <w:rFonts w:asciiTheme="minorHAnsi" w:hAnsiTheme="minorHAnsi" w:cstheme="minorHAnsi"/>
        </w:rPr>
      </w:pPr>
    </w:p>
    <w:p w14:paraId="170FCDBE" w14:textId="77777777" w:rsidR="00460249" w:rsidRDefault="00460249" w:rsidP="00DE554B">
      <w:pPr>
        <w:spacing w:line="276" w:lineRule="auto"/>
        <w:jc w:val="both"/>
        <w:rPr>
          <w:rFonts w:asciiTheme="minorHAnsi" w:hAnsiTheme="minorHAnsi" w:cstheme="minorHAnsi"/>
        </w:rPr>
      </w:pPr>
    </w:p>
    <w:p w14:paraId="5454B815" w14:textId="77777777" w:rsidR="00460249" w:rsidRDefault="00460249" w:rsidP="00DE554B">
      <w:pPr>
        <w:spacing w:line="276" w:lineRule="auto"/>
        <w:jc w:val="both"/>
        <w:rPr>
          <w:rFonts w:asciiTheme="minorHAnsi" w:hAnsiTheme="minorHAnsi" w:cstheme="minorHAnsi"/>
        </w:rPr>
      </w:pPr>
    </w:p>
    <w:p w14:paraId="5126D119" w14:textId="77777777" w:rsidR="00460249" w:rsidRDefault="00460249" w:rsidP="00460249">
      <w:pPr>
        <w:pStyle w:val="Paragrafoelenco"/>
        <w:numPr>
          <w:ilvl w:val="0"/>
          <w:numId w:val="14"/>
        </w:numPr>
        <w:spacing w:line="276" w:lineRule="auto"/>
        <w:jc w:val="both"/>
        <w:rPr>
          <w:rFonts w:asciiTheme="minorHAnsi" w:hAnsiTheme="minorHAnsi" w:cstheme="minorHAnsi"/>
          <w:b/>
          <w:u w:val="single"/>
        </w:rPr>
      </w:pPr>
      <w:r>
        <w:rPr>
          <w:rFonts w:asciiTheme="minorHAnsi" w:hAnsiTheme="minorHAnsi" w:cstheme="minorHAnsi"/>
          <w:b/>
          <w:u w:val="single"/>
        </w:rPr>
        <w:t xml:space="preserve">Servizi </w:t>
      </w:r>
      <w:proofErr w:type="spellStart"/>
      <w:r>
        <w:rPr>
          <w:rFonts w:asciiTheme="minorHAnsi" w:hAnsiTheme="minorHAnsi" w:cstheme="minorHAnsi"/>
          <w:b/>
          <w:u w:val="single"/>
        </w:rPr>
        <w:t>cloud</w:t>
      </w:r>
      <w:proofErr w:type="spellEnd"/>
      <w:r>
        <w:rPr>
          <w:rFonts w:asciiTheme="minorHAnsi" w:hAnsiTheme="minorHAnsi" w:cstheme="minorHAnsi"/>
          <w:b/>
          <w:u w:val="single"/>
        </w:rPr>
        <w:t xml:space="preserve"> Oracle </w:t>
      </w:r>
      <w:proofErr w:type="spellStart"/>
      <w:r>
        <w:rPr>
          <w:rFonts w:asciiTheme="minorHAnsi" w:hAnsiTheme="minorHAnsi" w:cstheme="minorHAnsi"/>
          <w:b/>
          <w:u w:val="single"/>
        </w:rPr>
        <w:t>P</w:t>
      </w:r>
      <w:r w:rsidRPr="00460249">
        <w:rPr>
          <w:rFonts w:asciiTheme="minorHAnsi" w:hAnsiTheme="minorHAnsi" w:cstheme="minorHAnsi"/>
          <w:b/>
          <w:u w:val="single"/>
        </w:rPr>
        <w:t>aas</w:t>
      </w:r>
      <w:proofErr w:type="spellEnd"/>
      <w:r w:rsidRPr="00460249">
        <w:rPr>
          <w:rFonts w:asciiTheme="minorHAnsi" w:hAnsiTheme="minorHAnsi" w:cstheme="minorHAnsi"/>
          <w:b/>
          <w:u w:val="single"/>
        </w:rPr>
        <w:t>.</w:t>
      </w:r>
    </w:p>
    <w:p w14:paraId="59309342" w14:textId="77777777" w:rsidR="004D2801" w:rsidRPr="004D2801" w:rsidRDefault="004D2801" w:rsidP="004D2801">
      <w:pPr>
        <w:spacing w:line="276" w:lineRule="auto"/>
        <w:jc w:val="both"/>
        <w:rPr>
          <w:rFonts w:asciiTheme="minorHAnsi" w:hAnsiTheme="minorHAnsi" w:cstheme="minorHAnsi"/>
        </w:rPr>
      </w:pPr>
      <w:r w:rsidRPr="004D2801">
        <w:rPr>
          <w:rFonts w:asciiTheme="minorHAnsi" w:hAnsiTheme="minorHAnsi" w:cstheme="minorHAnsi"/>
        </w:rPr>
        <w:t xml:space="preserve">Le </w:t>
      </w:r>
      <w:r>
        <w:rPr>
          <w:rFonts w:asciiTheme="minorHAnsi" w:hAnsiTheme="minorHAnsi" w:cstheme="minorHAnsi"/>
        </w:rPr>
        <w:t>quantità indicate sono quelle massime previste a regime al termine delle attività di migrazione di tutti gli ambienti applicativi.</w:t>
      </w:r>
    </w:p>
    <w:tbl>
      <w:tblPr>
        <w:tblpPr w:leftFromText="141" w:rightFromText="141" w:vertAnchor="text" w:horzAnchor="page" w:tblpX="558" w:tblpY="208"/>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2"/>
        <w:gridCol w:w="1823"/>
        <w:gridCol w:w="4536"/>
        <w:gridCol w:w="1281"/>
        <w:gridCol w:w="1271"/>
      </w:tblGrid>
      <w:tr w:rsidR="003039B2" w14:paraId="5B23C5D6" w14:textId="77777777" w:rsidTr="00F729D7">
        <w:trPr>
          <w:trHeight w:val="330"/>
        </w:trPr>
        <w:tc>
          <w:tcPr>
            <w:tcW w:w="1002" w:type="dxa"/>
            <w:vMerge w:val="restart"/>
            <w:shd w:val="clear" w:color="000000" w:fill="B4C6E7"/>
            <w:noWrap/>
            <w:vAlign w:val="center"/>
            <w:hideMark/>
          </w:tcPr>
          <w:p w14:paraId="378E2963" w14:textId="77777777" w:rsidR="003039B2" w:rsidRDefault="003039B2" w:rsidP="00F729D7">
            <w:pPr>
              <w:jc w:val="center"/>
              <w:rPr>
                <w:rFonts w:ascii="Calibri" w:hAnsi="Calibri" w:cs="Calibri"/>
                <w:b/>
                <w:bCs/>
                <w:color w:val="000000"/>
                <w:sz w:val="22"/>
                <w:szCs w:val="22"/>
              </w:rPr>
            </w:pPr>
            <w:r>
              <w:rPr>
                <w:rFonts w:ascii="Calibri" w:hAnsi="Calibri" w:cs="Calibri"/>
                <w:b/>
                <w:bCs/>
                <w:color w:val="000000"/>
                <w:sz w:val="22"/>
                <w:szCs w:val="22"/>
              </w:rPr>
              <w:t>Part No.</w:t>
            </w:r>
          </w:p>
        </w:tc>
        <w:tc>
          <w:tcPr>
            <w:tcW w:w="1823" w:type="dxa"/>
            <w:vMerge w:val="restart"/>
            <w:shd w:val="clear" w:color="000000" w:fill="B4C6E7"/>
            <w:noWrap/>
            <w:vAlign w:val="center"/>
            <w:hideMark/>
          </w:tcPr>
          <w:p w14:paraId="63D68FB5" w14:textId="77777777" w:rsidR="003039B2" w:rsidRDefault="003039B2" w:rsidP="00F729D7">
            <w:pPr>
              <w:jc w:val="center"/>
              <w:rPr>
                <w:rFonts w:ascii="Calibri" w:hAnsi="Calibri" w:cs="Calibri"/>
                <w:b/>
                <w:bCs/>
                <w:color w:val="000000"/>
                <w:sz w:val="22"/>
                <w:szCs w:val="22"/>
              </w:rPr>
            </w:pPr>
            <w:proofErr w:type="spellStart"/>
            <w:r>
              <w:rPr>
                <w:rFonts w:ascii="Calibri" w:hAnsi="Calibri" w:cs="Calibri"/>
                <w:b/>
                <w:bCs/>
                <w:color w:val="000000"/>
                <w:sz w:val="22"/>
                <w:szCs w:val="22"/>
              </w:rPr>
              <w:t>Arch</w:t>
            </w:r>
            <w:proofErr w:type="spellEnd"/>
            <w:r>
              <w:rPr>
                <w:rFonts w:ascii="Calibri" w:hAnsi="Calibri" w:cs="Calibri"/>
                <w:b/>
                <w:bCs/>
                <w:color w:val="000000"/>
                <w:sz w:val="22"/>
                <w:szCs w:val="22"/>
              </w:rPr>
              <w:t xml:space="preserve"> Component</w:t>
            </w:r>
          </w:p>
        </w:tc>
        <w:tc>
          <w:tcPr>
            <w:tcW w:w="4536" w:type="dxa"/>
            <w:vMerge w:val="restart"/>
            <w:shd w:val="clear" w:color="000000" w:fill="B4C6E7"/>
            <w:noWrap/>
            <w:vAlign w:val="center"/>
            <w:hideMark/>
          </w:tcPr>
          <w:p w14:paraId="3953FD4D" w14:textId="77777777" w:rsidR="003039B2" w:rsidRDefault="003039B2" w:rsidP="00F729D7">
            <w:pPr>
              <w:jc w:val="center"/>
              <w:rPr>
                <w:rFonts w:ascii="Calibri" w:hAnsi="Calibri" w:cs="Calibri"/>
                <w:b/>
                <w:bCs/>
                <w:color w:val="000000"/>
                <w:sz w:val="22"/>
                <w:szCs w:val="22"/>
              </w:rPr>
            </w:pPr>
            <w:r>
              <w:rPr>
                <w:rFonts w:ascii="Calibri" w:hAnsi="Calibri" w:cs="Calibri"/>
                <w:b/>
                <w:bCs/>
                <w:color w:val="000000"/>
                <w:sz w:val="22"/>
                <w:szCs w:val="22"/>
              </w:rPr>
              <w:t>Servizio</w:t>
            </w:r>
          </w:p>
        </w:tc>
        <w:tc>
          <w:tcPr>
            <w:tcW w:w="2552" w:type="dxa"/>
            <w:gridSpan w:val="2"/>
            <w:shd w:val="clear" w:color="000000" w:fill="B4C6E7"/>
            <w:vAlign w:val="center"/>
            <w:hideMark/>
          </w:tcPr>
          <w:p w14:paraId="6629580D" w14:textId="77777777" w:rsidR="003039B2" w:rsidRDefault="003039B2" w:rsidP="00F729D7">
            <w:pPr>
              <w:jc w:val="center"/>
              <w:rPr>
                <w:rFonts w:ascii="Calibri" w:hAnsi="Calibri" w:cs="Calibri"/>
                <w:b/>
                <w:bCs/>
                <w:color w:val="000000"/>
                <w:sz w:val="22"/>
                <w:szCs w:val="22"/>
              </w:rPr>
            </w:pPr>
            <w:r>
              <w:rPr>
                <w:rFonts w:ascii="Calibri" w:hAnsi="Calibri" w:cs="Calibri"/>
                <w:b/>
                <w:bCs/>
                <w:color w:val="000000"/>
                <w:sz w:val="22"/>
                <w:szCs w:val="22"/>
              </w:rPr>
              <w:t>Quantità Base</w:t>
            </w:r>
          </w:p>
        </w:tc>
      </w:tr>
      <w:tr w:rsidR="003039B2" w14:paraId="2D36FCEF" w14:textId="77777777" w:rsidTr="00F729D7">
        <w:trPr>
          <w:trHeight w:val="330"/>
        </w:trPr>
        <w:tc>
          <w:tcPr>
            <w:tcW w:w="1002" w:type="dxa"/>
            <w:vMerge/>
            <w:vAlign w:val="center"/>
            <w:hideMark/>
          </w:tcPr>
          <w:p w14:paraId="066977CA" w14:textId="77777777" w:rsidR="003039B2" w:rsidRDefault="003039B2" w:rsidP="00F729D7">
            <w:pPr>
              <w:rPr>
                <w:rFonts w:ascii="Calibri" w:hAnsi="Calibri" w:cs="Calibri"/>
                <w:b/>
                <w:bCs/>
                <w:color w:val="000000"/>
                <w:sz w:val="22"/>
                <w:szCs w:val="22"/>
              </w:rPr>
            </w:pPr>
          </w:p>
        </w:tc>
        <w:tc>
          <w:tcPr>
            <w:tcW w:w="1823" w:type="dxa"/>
            <w:vMerge/>
            <w:vAlign w:val="center"/>
            <w:hideMark/>
          </w:tcPr>
          <w:p w14:paraId="17253A15" w14:textId="77777777" w:rsidR="003039B2" w:rsidRDefault="003039B2" w:rsidP="00F729D7">
            <w:pPr>
              <w:rPr>
                <w:rFonts w:ascii="Calibri" w:hAnsi="Calibri" w:cs="Calibri"/>
                <w:b/>
                <w:bCs/>
                <w:color w:val="000000"/>
                <w:sz w:val="22"/>
                <w:szCs w:val="22"/>
              </w:rPr>
            </w:pPr>
          </w:p>
        </w:tc>
        <w:tc>
          <w:tcPr>
            <w:tcW w:w="4536" w:type="dxa"/>
            <w:vMerge/>
            <w:vAlign w:val="center"/>
            <w:hideMark/>
          </w:tcPr>
          <w:p w14:paraId="0A31E5DD" w14:textId="77777777" w:rsidR="003039B2" w:rsidRDefault="003039B2" w:rsidP="00F729D7">
            <w:pPr>
              <w:rPr>
                <w:rFonts w:ascii="Calibri" w:hAnsi="Calibri" w:cs="Calibri"/>
                <w:b/>
                <w:bCs/>
                <w:color w:val="000000"/>
                <w:sz w:val="22"/>
                <w:szCs w:val="22"/>
              </w:rPr>
            </w:pPr>
          </w:p>
        </w:tc>
        <w:tc>
          <w:tcPr>
            <w:tcW w:w="1281" w:type="dxa"/>
            <w:shd w:val="clear" w:color="000000" w:fill="B4C6E7"/>
            <w:vAlign w:val="center"/>
            <w:hideMark/>
          </w:tcPr>
          <w:p w14:paraId="374C0589" w14:textId="77777777" w:rsidR="003039B2" w:rsidRDefault="003039B2" w:rsidP="00F729D7">
            <w:pPr>
              <w:jc w:val="center"/>
              <w:rPr>
                <w:rFonts w:ascii="Calibri" w:hAnsi="Calibri" w:cs="Calibri"/>
                <w:b/>
                <w:bCs/>
                <w:color w:val="000000"/>
                <w:sz w:val="22"/>
                <w:szCs w:val="22"/>
              </w:rPr>
            </w:pPr>
            <w:r>
              <w:rPr>
                <w:rFonts w:ascii="Calibri" w:hAnsi="Calibri" w:cs="Calibri"/>
                <w:b/>
                <w:bCs/>
                <w:color w:val="000000"/>
                <w:sz w:val="22"/>
                <w:szCs w:val="22"/>
              </w:rPr>
              <w:t>Giorno</w:t>
            </w:r>
          </w:p>
        </w:tc>
        <w:tc>
          <w:tcPr>
            <w:tcW w:w="1271" w:type="dxa"/>
            <w:shd w:val="clear" w:color="000000" w:fill="B4C6E7"/>
            <w:vAlign w:val="center"/>
            <w:hideMark/>
          </w:tcPr>
          <w:p w14:paraId="7A7D1FB9" w14:textId="77777777" w:rsidR="003039B2" w:rsidRDefault="003039B2" w:rsidP="00F729D7">
            <w:pPr>
              <w:jc w:val="center"/>
              <w:rPr>
                <w:rFonts w:ascii="Calibri" w:hAnsi="Calibri" w:cs="Calibri"/>
                <w:b/>
                <w:bCs/>
                <w:color w:val="000000"/>
                <w:sz w:val="22"/>
                <w:szCs w:val="22"/>
              </w:rPr>
            </w:pPr>
            <w:r>
              <w:rPr>
                <w:rFonts w:ascii="Calibri" w:hAnsi="Calibri" w:cs="Calibri"/>
                <w:b/>
                <w:bCs/>
                <w:color w:val="000000"/>
                <w:sz w:val="22"/>
                <w:szCs w:val="22"/>
              </w:rPr>
              <w:t>Notte</w:t>
            </w:r>
          </w:p>
        </w:tc>
      </w:tr>
      <w:tr w:rsidR="00F729D7" w14:paraId="5B0C414B" w14:textId="77777777" w:rsidTr="00F729D7">
        <w:trPr>
          <w:trHeight w:val="330"/>
        </w:trPr>
        <w:tc>
          <w:tcPr>
            <w:tcW w:w="1002" w:type="dxa"/>
            <w:shd w:val="clear" w:color="auto" w:fill="auto"/>
            <w:noWrap/>
            <w:vAlign w:val="center"/>
            <w:hideMark/>
          </w:tcPr>
          <w:p w14:paraId="31923910" w14:textId="77777777" w:rsidR="003039B2" w:rsidRDefault="003039B2" w:rsidP="00F729D7">
            <w:pPr>
              <w:jc w:val="center"/>
              <w:rPr>
                <w:rFonts w:ascii="Calibri" w:hAnsi="Calibri" w:cs="Calibri"/>
                <w:color w:val="000000"/>
              </w:rPr>
            </w:pPr>
            <w:r>
              <w:rPr>
                <w:rFonts w:ascii="Calibri" w:hAnsi="Calibri" w:cs="Calibri"/>
                <w:color w:val="000000"/>
              </w:rPr>
              <w:t>B90557</w:t>
            </w:r>
          </w:p>
        </w:tc>
        <w:tc>
          <w:tcPr>
            <w:tcW w:w="1823" w:type="dxa"/>
            <w:shd w:val="clear" w:color="auto" w:fill="auto"/>
            <w:noWrap/>
            <w:vAlign w:val="center"/>
            <w:hideMark/>
          </w:tcPr>
          <w:p w14:paraId="51A3E54A" w14:textId="77777777" w:rsidR="003039B2" w:rsidRDefault="003039B2" w:rsidP="00F729D7">
            <w:pPr>
              <w:jc w:val="center"/>
              <w:rPr>
                <w:rFonts w:ascii="Calibri" w:hAnsi="Calibri" w:cs="Calibri"/>
                <w:color w:val="000000"/>
              </w:rPr>
            </w:pPr>
            <w:r>
              <w:rPr>
                <w:rFonts w:ascii="Calibri" w:hAnsi="Calibri" w:cs="Calibri"/>
                <w:color w:val="000000"/>
              </w:rPr>
              <w:t>Security</w:t>
            </w:r>
          </w:p>
        </w:tc>
        <w:tc>
          <w:tcPr>
            <w:tcW w:w="4536" w:type="dxa"/>
            <w:shd w:val="clear" w:color="auto" w:fill="auto"/>
            <w:vAlign w:val="center"/>
            <w:hideMark/>
          </w:tcPr>
          <w:p w14:paraId="17A036DB"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Identity Cloud Service - Enterprise User - BYOL (</w:t>
            </w:r>
            <w:proofErr w:type="spellStart"/>
            <w:r w:rsidRPr="00F729D7">
              <w:rPr>
                <w:rFonts w:ascii="Calibri" w:hAnsi="Calibri" w:cs="Calibri"/>
                <w:color w:val="000000"/>
                <w:lang w:val="en-US"/>
              </w:rPr>
              <w:t>Utenti</w:t>
            </w:r>
            <w:proofErr w:type="spellEnd"/>
            <w:r w:rsidRPr="00F729D7">
              <w:rPr>
                <w:rFonts w:ascii="Calibri" w:hAnsi="Calibri" w:cs="Calibri"/>
                <w:color w:val="000000"/>
                <w:lang w:val="en-US"/>
              </w:rPr>
              <w:t>/</w:t>
            </w:r>
            <w:proofErr w:type="spellStart"/>
            <w:r w:rsidR="00F729D7" w:rsidRPr="00F729D7">
              <w:rPr>
                <w:rFonts w:ascii="Calibri" w:hAnsi="Calibri" w:cs="Calibri"/>
                <w:color w:val="000000"/>
                <w:lang w:val="en-US"/>
              </w:rPr>
              <w:t>Mese</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78652368" w14:textId="77777777" w:rsidR="003039B2" w:rsidRDefault="003039B2" w:rsidP="00F729D7">
            <w:pPr>
              <w:jc w:val="center"/>
              <w:rPr>
                <w:rFonts w:ascii="Calibri" w:hAnsi="Calibri" w:cs="Calibri"/>
                <w:color w:val="000000"/>
              </w:rPr>
            </w:pPr>
            <w:r>
              <w:rPr>
                <w:rFonts w:ascii="Calibri" w:hAnsi="Calibri" w:cs="Calibri"/>
                <w:color w:val="000000"/>
              </w:rPr>
              <w:t>3000</w:t>
            </w:r>
          </w:p>
        </w:tc>
      </w:tr>
      <w:tr w:rsidR="003039B2" w14:paraId="3E7F002B" w14:textId="77777777" w:rsidTr="00F729D7">
        <w:trPr>
          <w:trHeight w:val="330"/>
        </w:trPr>
        <w:tc>
          <w:tcPr>
            <w:tcW w:w="1002" w:type="dxa"/>
            <w:shd w:val="clear" w:color="auto" w:fill="auto"/>
            <w:noWrap/>
            <w:vAlign w:val="center"/>
            <w:hideMark/>
          </w:tcPr>
          <w:p w14:paraId="0031C579" w14:textId="77777777" w:rsidR="003039B2" w:rsidRDefault="003039B2" w:rsidP="00F729D7">
            <w:pPr>
              <w:jc w:val="center"/>
              <w:rPr>
                <w:rFonts w:ascii="Calibri" w:hAnsi="Calibri" w:cs="Calibri"/>
                <w:color w:val="000000"/>
              </w:rPr>
            </w:pPr>
            <w:r>
              <w:rPr>
                <w:rFonts w:ascii="Calibri" w:hAnsi="Calibri" w:cs="Calibri"/>
                <w:color w:val="000000"/>
              </w:rPr>
              <w:t>B89631</w:t>
            </w:r>
          </w:p>
        </w:tc>
        <w:tc>
          <w:tcPr>
            <w:tcW w:w="1823" w:type="dxa"/>
            <w:shd w:val="clear" w:color="auto" w:fill="auto"/>
            <w:noWrap/>
            <w:vAlign w:val="center"/>
            <w:hideMark/>
          </w:tcPr>
          <w:p w14:paraId="107163AA" w14:textId="77777777" w:rsidR="003039B2" w:rsidRDefault="003039B2" w:rsidP="00F729D7">
            <w:pPr>
              <w:jc w:val="center"/>
              <w:rPr>
                <w:rFonts w:ascii="Calibri" w:hAnsi="Calibri" w:cs="Calibri"/>
                <w:color w:val="000000"/>
              </w:rPr>
            </w:pPr>
            <w:r>
              <w:rPr>
                <w:rFonts w:ascii="Calibri" w:hAnsi="Calibri" w:cs="Calibri"/>
                <w:color w:val="000000"/>
              </w:rPr>
              <w:t>Analytics</w:t>
            </w:r>
          </w:p>
        </w:tc>
        <w:tc>
          <w:tcPr>
            <w:tcW w:w="4536" w:type="dxa"/>
            <w:shd w:val="clear" w:color="auto" w:fill="auto"/>
            <w:vAlign w:val="center"/>
            <w:hideMark/>
          </w:tcPr>
          <w:p w14:paraId="690926C8" w14:textId="77777777" w:rsidR="003039B2" w:rsidRPr="003039B2" w:rsidRDefault="003039B2" w:rsidP="00F729D7">
            <w:pPr>
              <w:rPr>
                <w:rFonts w:ascii="Calibri" w:hAnsi="Calibri" w:cs="Calibri"/>
                <w:color w:val="000000"/>
                <w:lang w:val="en-US"/>
              </w:rPr>
            </w:pPr>
            <w:r w:rsidRPr="003039B2">
              <w:rPr>
                <w:rFonts w:ascii="Calibri" w:hAnsi="Calibri" w:cs="Calibri"/>
                <w:color w:val="000000"/>
                <w:lang w:val="en-US"/>
              </w:rPr>
              <w:t>Oracle Analytics Cloud - Enterprise (OCPU/</w:t>
            </w:r>
            <w:proofErr w:type="spellStart"/>
            <w:r w:rsidRPr="003039B2">
              <w:rPr>
                <w:rFonts w:ascii="Calibri" w:hAnsi="Calibri" w:cs="Calibri"/>
                <w:color w:val="000000"/>
                <w:lang w:val="en-US"/>
              </w:rPr>
              <w:t>Ora</w:t>
            </w:r>
            <w:proofErr w:type="spellEnd"/>
            <w:r w:rsidRPr="003039B2">
              <w:rPr>
                <w:rFonts w:ascii="Calibri" w:hAnsi="Calibri" w:cs="Calibri"/>
                <w:color w:val="000000"/>
                <w:lang w:val="en-US"/>
              </w:rPr>
              <w:t>)</w:t>
            </w:r>
          </w:p>
        </w:tc>
        <w:tc>
          <w:tcPr>
            <w:tcW w:w="1281" w:type="dxa"/>
            <w:shd w:val="clear" w:color="auto" w:fill="auto"/>
            <w:noWrap/>
            <w:vAlign w:val="center"/>
            <w:hideMark/>
          </w:tcPr>
          <w:p w14:paraId="1F21AD71" w14:textId="77777777" w:rsidR="003039B2" w:rsidRDefault="003039B2" w:rsidP="00F729D7">
            <w:pPr>
              <w:jc w:val="center"/>
              <w:rPr>
                <w:rFonts w:ascii="Calibri" w:hAnsi="Calibri" w:cs="Calibri"/>
                <w:color w:val="000000"/>
              </w:rPr>
            </w:pPr>
            <w:r>
              <w:rPr>
                <w:rFonts w:ascii="Calibri" w:hAnsi="Calibri" w:cs="Calibri"/>
                <w:color w:val="000000"/>
              </w:rPr>
              <w:t>10</w:t>
            </w:r>
          </w:p>
        </w:tc>
        <w:tc>
          <w:tcPr>
            <w:tcW w:w="1271" w:type="dxa"/>
            <w:shd w:val="clear" w:color="000000" w:fill="FFFFFF"/>
            <w:noWrap/>
            <w:vAlign w:val="center"/>
            <w:hideMark/>
          </w:tcPr>
          <w:p w14:paraId="6A078B7C" w14:textId="77777777" w:rsidR="003039B2" w:rsidRDefault="003039B2" w:rsidP="00F729D7">
            <w:pPr>
              <w:jc w:val="center"/>
              <w:rPr>
                <w:rFonts w:ascii="Calibri" w:hAnsi="Calibri" w:cs="Calibri"/>
                <w:color w:val="000000"/>
              </w:rPr>
            </w:pPr>
            <w:r>
              <w:rPr>
                <w:rFonts w:ascii="Calibri" w:hAnsi="Calibri" w:cs="Calibri"/>
                <w:color w:val="000000"/>
              </w:rPr>
              <w:t>6</w:t>
            </w:r>
          </w:p>
        </w:tc>
      </w:tr>
      <w:tr w:rsidR="003039B2" w14:paraId="3236D941" w14:textId="77777777" w:rsidTr="00F729D7">
        <w:trPr>
          <w:trHeight w:val="330"/>
        </w:trPr>
        <w:tc>
          <w:tcPr>
            <w:tcW w:w="1002" w:type="dxa"/>
            <w:shd w:val="clear" w:color="auto" w:fill="auto"/>
            <w:noWrap/>
            <w:vAlign w:val="center"/>
            <w:hideMark/>
          </w:tcPr>
          <w:p w14:paraId="29364F95" w14:textId="77777777" w:rsidR="003039B2" w:rsidRDefault="003039B2" w:rsidP="00F729D7">
            <w:pPr>
              <w:jc w:val="center"/>
              <w:rPr>
                <w:rFonts w:ascii="Calibri" w:hAnsi="Calibri" w:cs="Calibri"/>
                <w:color w:val="000000"/>
              </w:rPr>
            </w:pPr>
            <w:r>
              <w:rPr>
                <w:rFonts w:ascii="Calibri" w:hAnsi="Calibri" w:cs="Calibri"/>
                <w:color w:val="000000"/>
              </w:rPr>
              <w:t>B89644</w:t>
            </w:r>
          </w:p>
        </w:tc>
        <w:tc>
          <w:tcPr>
            <w:tcW w:w="1823" w:type="dxa"/>
            <w:shd w:val="clear" w:color="auto" w:fill="auto"/>
            <w:noWrap/>
            <w:vAlign w:val="center"/>
            <w:hideMark/>
          </w:tcPr>
          <w:p w14:paraId="2397D86E" w14:textId="77777777" w:rsidR="003039B2" w:rsidRDefault="003039B2" w:rsidP="00F729D7">
            <w:pPr>
              <w:jc w:val="center"/>
              <w:rPr>
                <w:rFonts w:ascii="Calibri" w:hAnsi="Calibri" w:cs="Calibri"/>
                <w:color w:val="000000"/>
              </w:rPr>
            </w:pPr>
            <w:r>
              <w:rPr>
                <w:rFonts w:ascii="Calibri" w:hAnsi="Calibri" w:cs="Calibri"/>
                <w:color w:val="000000"/>
              </w:rPr>
              <w:t>Integration</w:t>
            </w:r>
          </w:p>
        </w:tc>
        <w:tc>
          <w:tcPr>
            <w:tcW w:w="4536" w:type="dxa"/>
            <w:shd w:val="clear" w:color="auto" w:fill="auto"/>
            <w:vAlign w:val="center"/>
            <w:hideMark/>
          </w:tcPr>
          <w:p w14:paraId="1356AA83"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 xml:space="preserve">Oracle Integration Cloud Service - Enterprise - BYOL (20K </w:t>
            </w:r>
            <w:proofErr w:type="spellStart"/>
            <w:r w:rsidRPr="00F729D7">
              <w:rPr>
                <w:rFonts w:ascii="Calibri" w:hAnsi="Calibri" w:cs="Calibri"/>
                <w:color w:val="000000"/>
                <w:lang w:val="en-US"/>
              </w:rPr>
              <w:t>Messaggi</w:t>
            </w:r>
            <w:proofErr w:type="spellEnd"/>
            <w:r w:rsidRPr="00F729D7">
              <w:rPr>
                <w:rFonts w:ascii="Calibri" w:hAnsi="Calibri" w:cs="Calibri"/>
                <w:color w:val="000000"/>
                <w:lang w:val="en-US"/>
              </w:rPr>
              <w:t>/</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1281" w:type="dxa"/>
            <w:shd w:val="clear" w:color="auto" w:fill="auto"/>
            <w:noWrap/>
            <w:vAlign w:val="center"/>
            <w:hideMark/>
          </w:tcPr>
          <w:p w14:paraId="7ED8200E" w14:textId="77777777" w:rsidR="003039B2" w:rsidRDefault="003039B2" w:rsidP="00F729D7">
            <w:pPr>
              <w:jc w:val="center"/>
              <w:rPr>
                <w:rFonts w:ascii="Calibri" w:hAnsi="Calibri" w:cs="Calibri"/>
                <w:color w:val="000000"/>
              </w:rPr>
            </w:pPr>
            <w:r>
              <w:rPr>
                <w:rFonts w:ascii="Calibri" w:hAnsi="Calibri" w:cs="Calibri"/>
                <w:color w:val="000000"/>
              </w:rPr>
              <w:t>9</w:t>
            </w:r>
          </w:p>
        </w:tc>
        <w:tc>
          <w:tcPr>
            <w:tcW w:w="1271" w:type="dxa"/>
            <w:shd w:val="clear" w:color="auto" w:fill="auto"/>
            <w:noWrap/>
            <w:vAlign w:val="center"/>
            <w:hideMark/>
          </w:tcPr>
          <w:p w14:paraId="4452A954" w14:textId="77777777" w:rsidR="003039B2" w:rsidRDefault="003039B2" w:rsidP="00F729D7">
            <w:pPr>
              <w:jc w:val="center"/>
              <w:rPr>
                <w:rFonts w:ascii="Calibri" w:hAnsi="Calibri" w:cs="Calibri"/>
                <w:color w:val="000000"/>
              </w:rPr>
            </w:pPr>
            <w:r>
              <w:rPr>
                <w:rFonts w:ascii="Calibri" w:hAnsi="Calibri" w:cs="Calibri"/>
                <w:color w:val="000000"/>
              </w:rPr>
              <w:t>2</w:t>
            </w:r>
          </w:p>
        </w:tc>
      </w:tr>
      <w:tr w:rsidR="00F729D7" w14:paraId="60B44F46" w14:textId="77777777" w:rsidTr="00F729D7">
        <w:trPr>
          <w:trHeight w:val="330"/>
        </w:trPr>
        <w:tc>
          <w:tcPr>
            <w:tcW w:w="1002" w:type="dxa"/>
            <w:shd w:val="clear" w:color="auto" w:fill="auto"/>
            <w:noWrap/>
            <w:vAlign w:val="center"/>
            <w:hideMark/>
          </w:tcPr>
          <w:p w14:paraId="7D394F01" w14:textId="77777777" w:rsidR="003039B2" w:rsidRDefault="003039B2" w:rsidP="00F729D7">
            <w:pPr>
              <w:jc w:val="center"/>
              <w:rPr>
                <w:rFonts w:ascii="Calibri" w:hAnsi="Calibri" w:cs="Calibri"/>
                <w:color w:val="000000"/>
              </w:rPr>
            </w:pPr>
            <w:r>
              <w:rPr>
                <w:rFonts w:ascii="Calibri" w:hAnsi="Calibri" w:cs="Calibri"/>
                <w:color w:val="000000"/>
              </w:rPr>
              <w:t>B88299</w:t>
            </w:r>
          </w:p>
        </w:tc>
        <w:tc>
          <w:tcPr>
            <w:tcW w:w="1823" w:type="dxa"/>
            <w:shd w:val="clear" w:color="auto" w:fill="auto"/>
            <w:noWrap/>
            <w:vAlign w:val="center"/>
            <w:hideMark/>
          </w:tcPr>
          <w:p w14:paraId="1A98C2A4" w14:textId="77777777" w:rsidR="003039B2" w:rsidRDefault="003039B2" w:rsidP="00F729D7">
            <w:pPr>
              <w:jc w:val="center"/>
              <w:rPr>
                <w:rFonts w:ascii="Calibri" w:hAnsi="Calibri" w:cs="Calibri"/>
                <w:color w:val="000000"/>
              </w:rPr>
            </w:pPr>
            <w:r>
              <w:rPr>
                <w:rFonts w:ascii="Calibri" w:hAnsi="Calibri" w:cs="Calibri"/>
                <w:color w:val="000000"/>
              </w:rPr>
              <w:t>Integration</w:t>
            </w:r>
          </w:p>
        </w:tc>
        <w:tc>
          <w:tcPr>
            <w:tcW w:w="4536" w:type="dxa"/>
            <w:shd w:val="clear" w:color="auto" w:fill="auto"/>
            <w:vAlign w:val="center"/>
            <w:hideMark/>
          </w:tcPr>
          <w:p w14:paraId="716FC8FE"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Data Integrator Cloud Service (OCPU/</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687EBA0C" w14:textId="77777777" w:rsidR="003039B2" w:rsidRDefault="003039B2" w:rsidP="00F729D7">
            <w:pPr>
              <w:jc w:val="center"/>
              <w:rPr>
                <w:rFonts w:ascii="Calibri" w:hAnsi="Calibri" w:cs="Calibri"/>
                <w:color w:val="000000"/>
              </w:rPr>
            </w:pPr>
            <w:r>
              <w:rPr>
                <w:rFonts w:ascii="Calibri" w:hAnsi="Calibri" w:cs="Calibri"/>
                <w:color w:val="000000"/>
              </w:rPr>
              <w:t>6</w:t>
            </w:r>
          </w:p>
        </w:tc>
      </w:tr>
      <w:tr w:rsidR="00F729D7" w14:paraId="0053D694" w14:textId="77777777" w:rsidTr="00F729D7">
        <w:trPr>
          <w:trHeight w:val="330"/>
        </w:trPr>
        <w:tc>
          <w:tcPr>
            <w:tcW w:w="1002" w:type="dxa"/>
            <w:shd w:val="clear" w:color="auto" w:fill="auto"/>
            <w:noWrap/>
            <w:vAlign w:val="center"/>
            <w:hideMark/>
          </w:tcPr>
          <w:p w14:paraId="0052265F" w14:textId="77777777" w:rsidR="003039B2" w:rsidRDefault="003039B2" w:rsidP="00F729D7">
            <w:pPr>
              <w:jc w:val="center"/>
              <w:rPr>
                <w:rFonts w:ascii="Calibri" w:hAnsi="Calibri" w:cs="Calibri"/>
                <w:color w:val="000000"/>
              </w:rPr>
            </w:pPr>
            <w:r>
              <w:rPr>
                <w:rFonts w:ascii="Calibri" w:hAnsi="Calibri" w:cs="Calibri"/>
                <w:color w:val="000000"/>
              </w:rPr>
              <w:t>B88287</w:t>
            </w:r>
          </w:p>
        </w:tc>
        <w:tc>
          <w:tcPr>
            <w:tcW w:w="1823" w:type="dxa"/>
            <w:shd w:val="clear" w:color="auto" w:fill="auto"/>
            <w:noWrap/>
            <w:vAlign w:val="center"/>
            <w:hideMark/>
          </w:tcPr>
          <w:p w14:paraId="6A96BA3D" w14:textId="77777777" w:rsidR="003039B2" w:rsidRDefault="003039B2" w:rsidP="00F729D7">
            <w:pPr>
              <w:jc w:val="center"/>
              <w:rPr>
                <w:rFonts w:ascii="Calibri" w:hAnsi="Calibri" w:cs="Calibri"/>
                <w:color w:val="000000"/>
              </w:rPr>
            </w:pPr>
            <w:r>
              <w:rPr>
                <w:rFonts w:ascii="Calibri" w:hAnsi="Calibri" w:cs="Calibri"/>
                <w:color w:val="000000"/>
              </w:rPr>
              <w:t>Integration</w:t>
            </w:r>
          </w:p>
        </w:tc>
        <w:tc>
          <w:tcPr>
            <w:tcW w:w="4536" w:type="dxa"/>
            <w:shd w:val="clear" w:color="auto" w:fill="auto"/>
            <w:vAlign w:val="center"/>
            <w:hideMark/>
          </w:tcPr>
          <w:p w14:paraId="3373AB0D"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Java Cloud Service - Enterprise Edition - General Purpose (OCPU/</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7775E15E" w14:textId="77777777" w:rsidR="003039B2" w:rsidRDefault="003039B2" w:rsidP="00F729D7">
            <w:pPr>
              <w:jc w:val="center"/>
              <w:rPr>
                <w:rFonts w:ascii="Calibri" w:hAnsi="Calibri" w:cs="Calibri"/>
                <w:color w:val="000000"/>
              </w:rPr>
            </w:pPr>
            <w:r>
              <w:rPr>
                <w:rFonts w:ascii="Calibri" w:hAnsi="Calibri" w:cs="Calibri"/>
                <w:color w:val="000000"/>
              </w:rPr>
              <w:t>6</w:t>
            </w:r>
          </w:p>
        </w:tc>
      </w:tr>
      <w:tr w:rsidR="00F729D7" w14:paraId="2699EDEB" w14:textId="77777777" w:rsidTr="00F729D7">
        <w:trPr>
          <w:trHeight w:val="330"/>
        </w:trPr>
        <w:tc>
          <w:tcPr>
            <w:tcW w:w="1002" w:type="dxa"/>
            <w:shd w:val="clear" w:color="auto" w:fill="auto"/>
            <w:noWrap/>
            <w:vAlign w:val="center"/>
            <w:hideMark/>
          </w:tcPr>
          <w:p w14:paraId="2B5B8FF5" w14:textId="77777777" w:rsidR="003039B2" w:rsidRDefault="003039B2" w:rsidP="00F729D7">
            <w:pPr>
              <w:jc w:val="center"/>
              <w:rPr>
                <w:rFonts w:ascii="Calibri" w:hAnsi="Calibri" w:cs="Calibri"/>
                <w:color w:val="000000"/>
              </w:rPr>
            </w:pPr>
            <w:r>
              <w:rPr>
                <w:rFonts w:ascii="Calibri" w:hAnsi="Calibri" w:cs="Calibri"/>
                <w:color w:val="000000"/>
              </w:rPr>
              <w:t>B88407</w:t>
            </w:r>
          </w:p>
        </w:tc>
        <w:tc>
          <w:tcPr>
            <w:tcW w:w="1823" w:type="dxa"/>
            <w:shd w:val="clear" w:color="auto" w:fill="auto"/>
            <w:noWrap/>
            <w:vAlign w:val="center"/>
            <w:hideMark/>
          </w:tcPr>
          <w:p w14:paraId="72AE7994" w14:textId="77777777" w:rsidR="003039B2" w:rsidRDefault="003039B2" w:rsidP="00F729D7">
            <w:pPr>
              <w:jc w:val="center"/>
              <w:rPr>
                <w:rFonts w:ascii="Calibri" w:hAnsi="Calibri" w:cs="Calibri"/>
                <w:color w:val="000000"/>
              </w:rPr>
            </w:pPr>
            <w:r>
              <w:rPr>
                <w:rFonts w:ascii="Calibri" w:hAnsi="Calibri" w:cs="Calibri"/>
                <w:color w:val="000000"/>
              </w:rPr>
              <w:t>Integration</w:t>
            </w:r>
          </w:p>
        </w:tc>
        <w:tc>
          <w:tcPr>
            <w:tcW w:w="4536" w:type="dxa"/>
            <w:shd w:val="clear" w:color="auto" w:fill="auto"/>
            <w:vAlign w:val="center"/>
            <w:hideMark/>
          </w:tcPr>
          <w:p w14:paraId="2A7B073F" w14:textId="77777777" w:rsidR="003039B2" w:rsidRPr="003039B2" w:rsidRDefault="003039B2" w:rsidP="00F729D7">
            <w:pPr>
              <w:rPr>
                <w:rFonts w:ascii="Calibri" w:hAnsi="Calibri" w:cs="Calibri"/>
                <w:color w:val="000000"/>
                <w:lang w:val="en-US"/>
              </w:rPr>
            </w:pPr>
            <w:r w:rsidRPr="003039B2">
              <w:rPr>
                <w:rFonts w:ascii="Calibri" w:hAnsi="Calibri" w:cs="Calibri"/>
                <w:color w:val="000000"/>
                <w:lang w:val="en-US"/>
              </w:rPr>
              <w:t>Oracle SOA Suite Cloud Service - BYOL (OCPU/</w:t>
            </w:r>
            <w:proofErr w:type="spellStart"/>
            <w:r w:rsidRPr="003039B2">
              <w:rPr>
                <w:rFonts w:ascii="Calibri" w:hAnsi="Calibri" w:cs="Calibri"/>
                <w:color w:val="000000"/>
                <w:lang w:val="en-US"/>
              </w:rPr>
              <w:t>Ora</w:t>
            </w:r>
            <w:proofErr w:type="spellEnd"/>
            <w:r w:rsidRPr="003039B2">
              <w:rPr>
                <w:rFonts w:ascii="Calibri" w:hAnsi="Calibri" w:cs="Calibri"/>
                <w:color w:val="000000"/>
                <w:lang w:val="en-US"/>
              </w:rPr>
              <w:t>)</w:t>
            </w:r>
          </w:p>
        </w:tc>
        <w:tc>
          <w:tcPr>
            <w:tcW w:w="2552" w:type="dxa"/>
            <w:gridSpan w:val="2"/>
            <w:shd w:val="clear" w:color="auto" w:fill="auto"/>
            <w:noWrap/>
            <w:vAlign w:val="center"/>
            <w:hideMark/>
          </w:tcPr>
          <w:p w14:paraId="4CD1C5B1" w14:textId="77777777" w:rsidR="003039B2" w:rsidRDefault="003039B2" w:rsidP="00F729D7">
            <w:pPr>
              <w:jc w:val="center"/>
              <w:rPr>
                <w:rFonts w:ascii="Calibri" w:hAnsi="Calibri" w:cs="Calibri"/>
                <w:color w:val="000000"/>
              </w:rPr>
            </w:pPr>
            <w:r>
              <w:rPr>
                <w:rFonts w:ascii="Calibri" w:hAnsi="Calibri" w:cs="Calibri"/>
                <w:color w:val="000000"/>
              </w:rPr>
              <w:t>6</w:t>
            </w:r>
          </w:p>
        </w:tc>
      </w:tr>
      <w:tr w:rsidR="003039B2" w14:paraId="56992E86" w14:textId="77777777" w:rsidTr="00F729D7">
        <w:trPr>
          <w:trHeight w:val="645"/>
        </w:trPr>
        <w:tc>
          <w:tcPr>
            <w:tcW w:w="1002" w:type="dxa"/>
            <w:shd w:val="clear" w:color="auto" w:fill="auto"/>
            <w:noWrap/>
            <w:vAlign w:val="center"/>
            <w:hideMark/>
          </w:tcPr>
          <w:p w14:paraId="7A49294F" w14:textId="77777777" w:rsidR="003039B2" w:rsidRDefault="003039B2" w:rsidP="00F729D7">
            <w:pPr>
              <w:jc w:val="center"/>
              <w:rPr>
                <w:rFonts w:ascii="Calibri" w:hAnsi="Calibri" w:cs="Calibri"/>
                <w:color w:val="000000"/>
              </w:rPr>
            </w:pPr>
            <w:r>
              <w:rPr>
                <w:rFonts w:ascii="Calibri" w:hAnsi="Calibri" w:cs="Calibri"/>
                <w:color w:val="000000"/>
              </w:rPr>
              <w:t>B90573</w:t>
            </w:r>
          </w:p>
        </w:tc>
        <w:tc>
          <w:tcPr>
            <w:tcW w:w="1823" w:type="dxa"/>
            <w:shd w:val="clear" w:color="auto" w:fill="auto"/>
            <w:noWrap/>
            <w:vAlign w:val="center"/>
            <w:hideMark/>
          </w:tcPr>
          <w:p w14:paraId="63C2ACD7" w14:textId="77777777" w:rsidR="003039B2" w:rsidRDefault="003039B2" w:rsidP="00F729D7">
            <w:pPr>
              <w:jc w:val="center"/>
              <w:rPr>
                <w:rFonts w:ascii="Calibri" w:hAnsi="Calibri" w:cs="Calibri"/>
                <w:color w:val="000000"/>
              </w:rPr>
            </w:pPr>
            <w:r>
              <w:rPr>
                <w:rFonts w:ascii="Calibri" w:hAnsi="Calibri" w:cs="Calibri"/>
                <w:color w:val="000000"/>
              </w:rPr>
              <w:t>Database</w:t>
            </w:r>
          </w:p>
        </w:tc>
        <w:tc>
          <w:tcPr>
            <w:tcW w:w="4536" w:type="dxa"/>
            <w:shd w:val="clear" w:color="auto" w:fill="auto"/>
            <w:vAlign w:val="center"/>
            <w:hideMark/>
          </w:tcPr>
          <w:p w14:paraId="3E6D98BC" w14:textId="77777777" w:rsidR="003039B2" w:rsidRPr="003039B2" w:rsidRDefault="003039B2" w:rsidP="00F729D7">
            <w:pPr>
              <w:rPr>
                <w:rFonts w:ascii="Calibri" w:hAnsi="Calibri" w:cs="Calibri"/>
                <w:color w:val="000000"/>
                <w:lang w:val="en-US"/>
              </w:rPr>
            </w:pPr>
            <w:r w:rsidRPr="003039B2">
              <w:rPr>
                <w:rFonts w:ascii="Calibri" w:hAnsi="Calibri" w:cs="Calibri"/>
                <w:color w:val="000000"/>
                <w:lang w:val="en-US"/>
              </w:rPr>
              <w:t>Oracle Cloud Infrastructure - Database Cloud Service - All Editions - BYOL (OCPU/</w:t>
            </w:r>
            <w:proofErr w:type="spellStart"/>
            <w:r w:rsidRPr="003039B2">
              <w:rPr>
                <w:rFonts w:ascii="Calibri" w:hAnsi="Calibri" w:cs="Calibri"/>
                <w:color w:val="000000"/>
                <w:lang w:val="en-US"/>
              </w:rPr>
              <w:t>Ora</w:t>
            </w:r>
            <w:proofErr w:type="spellEnd"/>
            <w:r w:rsidRPr="003039B2">
              <w:rPr>
                <w:rFonts w:ascii="Calibri" w:hAnsi="Calibri" w:cs="Calibri"/>
                <w:color w:val="000000"/>
                <w:lang w:val="en-US"/>
              </w:rPr>
              <w:t>)</w:t>
            </w:r>
          </w:p>
        </w:tc>
        <w:tc>
          <w:tcPr>
            <w:tcW w:w="1281" w:type="dxa"/>
            <w:shd w:val="clear" w:color="auto" w:fill="auto"/>
            <w:noWrap/>
            <w:vAlign w:val="center"/>
            <w:hideMark/>
          </w:tcPr>
          <w:p w14:paraId="0D893BF7" w14:textId="77777777" w:rsidR="003039B2" w:rsidRDefault="003039B2" w:rsidP="00F729D7">
            <w:pPr>
              <w:jc w:val="center"/>
              <w:rPr>
                <w:rFonts w:ascii="Calibri" w:hAnsi="Calibri" w:cs="Calibri"/>
                <w:color w:val="000000"/>
              </w:rPr>
            </w:pPr>
            <w:r>
              <w:rPr>
                <w:rFonts w:ascii="Calibri" w:hAnsi="Calibri" w:cs="Calibri"/>
                <w:color w:val="000000"/>
              </w:rPr>
              <w:t>44</w:t>
            </w:r>
          </w:p>
        </w:tc>
        <w:tc>
          <w:tcPr>
            <w:tcW w:w="1271" w:type="dxa"/>
            <w:shd w:val="clear" w:color="auto" w:fill="auto"/>
            <w:noWrap/>
            <w:vAlign w:val="center"/>
            <w:hideMark/>
          </w:tcPr>
          <w:p w14:paraId="64CE3A23" w14:textId="77777777" w:rsidR="003039B2" w:rsidRDefault="003039B2" w:rsidP="00F729D7">
            <w:pPr>
              <w:jc w:val="center"/>
              <w:rPr>
                <w:rFonts w:ascii="Calibri" w:hAnsi="Calibri" w:cs="Calibri"/>
                <w:color w:val="000000"/>
              </w:rPr>
            </w:pPr>
            <w:r>
              <w:rPr>
                <w:rFonts w:ascii="Calibri" w:hAnsi="Calibri" w:cs="Calibri"/>
                <w:color w:val="000000"/>
              </w:rPr>
              <w:t>32</w:t>
            </w:r>
          </w:p>
        </w:tc>
      </w:tr>
      <w:tr w:rsidR="003039B2" w14:paraId="526D584C" w14:textId="77777777" w:rsidTr="00F729D7">
        <w:trPr>
          <w:trHeight w:val="645"/>
        </w:trPr>
        <w:tc>
          <w:tcPr>
            <w:tcW w:w="1002" w:type="dxa"/>
            <w:shd w:val="clear" w:color="000000" w:fill="FFFFFF"/>
            <w:noWrap/>
            <w:vAlign w:val="center"/>
            <w:hideMark/>
          </w:tcPr>
          <w:p w14:paraId="4D9AB467" w14:textId="77777777" w:rsidR="003039B2" w:rsidRDefault="003039B2" w:rsidP="00F729D7">
            <w:pPr>
              <w:jc w:val="center"/>
              <w:rPr>
                <w:rFonts w:ascii="Calibri" w:hAnsi="Calibri" w:cs="Calibri"/>
                <w:color w:val="000000"/>
              </w:rPr>
            </w:pPr>
            <w:r>
              <w:rPr>
                <w:rFonts w:ascii="Calibri" w:hAnsi="Calibri" w:cs="Calibri"/>
                <w:color w:val="000000"/>
              </w:rPr>
              <w:lastRenderedPageBreak/>
              <w:t>B88514</w:t>
            </w:r>
          </w:p>
        </w:tc>
        <w:tc>
          <w:tcPr>
            <w:tcW w:w="1823" w:type="dxa"/>
            <w:shd w:val="clear" w:color="000000" w:fill="FFFFFF"/>
            <w:noWrap/>
            <w:vAlign w:val="center"/>
            <w:hideMark/>
          </w:tcPr>
          <w:p w14:paraId="4307B892" w14:textId="77777777" w:rsidR="003039B2" w:rsidRDefault="003039B2" w:rsidP="00F729D7">
            <w:pPr>
              <w:jc w:val="center"/>
              <w:rPr>
                <w:rFonts w:ascii="Calibri" w:hAnsi="Calibri" w:cs="Calibri"/>
                <w:color w:val="000000"/>
              </w:rPr>
            </w:pPr>
            <w:r>
              <w:rPr>
                <w:rFonts w:ascii="Calibri" w:hAnsi="Calibri" w:cs="Calibri"/>
                <w:color w:val="000000"/>
              </w:rPr>
              <w:t>Compute</w:t>
            </w:r>
          </w:p>
        </w:tc>
        <w:tc>
          <w:tcPr>
            <w:tcW w:w="4536" w:type="dxa"/>
            <w:shd w:val="clear" w:color="000000" w:fill="FFFFFF"/>
            <w:vAlign w:val="center"/>
            <w:hideMark/>
          </w:tcPr>
          <w:p w14:paraId="1A409B1F"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Compute - Virtual Machine Standard - X7 (OCPU/</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1281" w:type="dxa"/>
            <w:shd w:val="clear" w:color="000000" w:fill="FFFFFF"/>
            <w:noWrap/>
            <w:vAlign w:val="center"/>
            <w:hideMark/>
          </w:tcPr>
          <w:p w14:paraId="3B8BC52F" w14:textId="77777777" w:rsidR="003039B2" w:rsidRDefault="003039B2" w:rsidP="00F729D7">
            <w:pPr>
              <w:jc w:val="center"/>
              <w:rPr>
                <w:rFonts w:ascii="Calibri" w:hAnsi="Calibri" w:cs="Calibri"/>
                <w:sz w:val="22"/>
                <w:szCs w:val="22"/>
              </w:rPr>
            </w:pPr>
            <w:r>
              <w:rPr>
                <w:rFonts w:ascii="Calibri" w:hAnsi="Calibri" w:cs="Calibri"/>
                <w:sz w:val="22"/>
                <w:szCs w:val="22"/>
              </w:rPr>
              <w:t>34</w:t>
            </w:r>
          </w:p>
        </w:tc>
        <w:tc>
          <w:tcPr>
            <w:tcW w:w="1271" w:type="dxa"/>
            <w:shd w:val="clear" w:color="000000" w:fill="FFFFFF"/>
            <w:noWrap/>
            <w:vAlign w:val="center"/>
            <w:hideMark/>
          </w:tcPr>
          <w:p w14:paraId="7C187C81" w14:textId="77777777" w:rsidR="003039B2" w:rsidRDefault="003039B2" w:rsidP="00F729D7">
            <w:pPr>
              <w:jc w:val="center"/>
              <w:rPr>
                <w:rFonts w:ascii="Calibri" w:hAnsi="Calibri" w:cs="Calibri"/>
                <w:sz w:val="22"/>
                <w:szCs w:val="22"/>
              </w:rPr>
            </w:pPr>
            <w:r>
              <w:rPr>
                <w:rFonts w:ascii="Calibri" w:hAnsi="Calibri" w:cs="Calibri"/>
                <w:sz w:val="22"/>
                <w:szCs w:val="22"/>
              </w:rPr>
              <w:t>24</w:t>
            </w:r>
          </w:p>
        </w:tc>
      </w:tr>
      <w:tr w:rsidR="003039B2" w14:paraId="40FA686D" w14:textId="77777777" w:rsidTr="00F729D7">
        <w:trPr>
          <w:trHeight w:val="330"/>
        </w:trPr>
        <w:tc>
          <w:tcPr>
            <w:tcW w:w="1002" w:type="dxa"/>
            <w:shd w:val="clear" w:color="000000" w:fill="FFFFFF"/>
            <w:noWrap/>
            <w:vAlign w:val="center"/>
            <w:hideMark/>
          </w:tcPr>
          <w:p w14:paraId="47E14A21" w14:textId="77777777" w:rsidR="003039B2" w:rsidRDefault="003039B2" w:rsidP="00F729D7">
            <w:pPr>
              <w:jc w:val="center"/>
              <w:rPr>
                <w:rFonts w:ascii="Calibri" w:hAnsi="Calibri" w:cs="Calibri"/>
                <w:color w:val="000000"/>
              </w:rPr>
            </w:pPr>
            <w:r>
              <w:rPr>
                <w:rFonts w:ascii="Calibri" w:hAnsi="Calibri" w:cs="Calibri"/>
                <w:color w:val="000000"/>
              </w:rPr>
              <w:t>B88322</w:t>
            </w:r>
          </w:p>
        </w:tc>
        <w:tc>
          <w:tcPr>
            <w:tcW w:w="1823" w:type="dxa"/>
            <w:shd w:val="clear" w:color="000000" w:fill="FFFFFF"/>
            <w:noWrap/>
            <w:vAlign w:val="center"/>
            <w:hideMark/>
          </w:tcPr>
          <w:p w14:paraId="28E5AAC2" w14:textId="77777777" w:rsidR="003039B2" w:rsidRDefault="003039B2" w:rsidP="00F729D7">
            <w:pPr>
              <w:jc w:val="center"/>
              <w:rPr>
                <w:rFonts w:ascii="Calibri" w:hAnsi="Calibri" w:cs="Calibri"/>
                <w:color w:val="000000"/>
              </w:rPr>
            </w:pPr>
            <w:r>
              <w:rPr>
                <w:rFonts w:ascii="Calibri" w:hAnsi="Calibri" w:cs="Calibri"/>
                <w:color w:val="000000"/>
              </w:rPr>
              <w:t>Storage</w:t>
            </w:r>
          </w:p>
        </w:tc>
        <w:tc>
          <w:tcPr>
            <w:tcW w:w="4536" w:type="dxa"/>
            <w:shd w:val="clear" w:color="000000" w:fill="FFFFFF"/>
            <w:vAlign w:val="center"/>
            <w:hideMark/>
          </w:tcPr>
          <w:p w14:paraId="0DD494FE"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Block Volume (GB/</w:t>
            </w:r>
            <w:proofErr w:type="spellStart"/>
            <w:r w:rsidRPr="00F729D7">
              <w:rPr>
                <w:rFonts w:ascii="Calibri" w:hAnsi="Calibri" w:cs="Calibri"/>
                <w:color w:val="000000"/>
                <w:lang w:val="en-US"/>
              </w:rPr>
              <w:t>Mese</w:t>
            </w:r>
            <w:proofErr w:type="spellEnd"/>
            <w:r w:rsidRPr="00F729D7">
              <w:rPr>
                <w:rFonts w:ascii="Calibri" w:hAnsi="Calibri" w:cs="Calibri"/>
                <w:color w:val="000000"/>
                <w:lang w:val="en-US"/>
              </w:rPr>
              <w:t>)</w:t>
            </w:r>
          </w:p>
        </w:tc>
        <w:tc>
          <w:tcPr>
            <w:tcW w:w="2552" w:type="dxa"/>
            <w:gridSpan w:val="2"/>
            <w:shd w:val="clear" w:color="000000" w:fill="FFFFFF"/>
            <w:noWrap/>
            <w:vAlign w:val="center"/>
            <w:hideMark/>
          </w:tcPr>
          <w:p w14:paraId="2F6496D0" w14:textId="77777777" w:rsidR="003039B2" w:rsidRDefault="003039B2" w:rsidP="00F729D7">
            <w:pPr>
              <w:jc w:val="center"/>
              <w:rPr>
                <w:rFonts w:ascii="Calibri" w:hAnsi="Calibri" w:cs="Calibri"/>
                <w:color w:val="000000"/>
              </w:rPr>
            </w:pPr>
            <w:r>
              <w:rPr>
                <w:rFonts w:ascii="Calibri" w:hAnsi="Calibri" w:cs="Calibri"/>
                <w:color w:val="000000"/>
              </w:rPr>
              <w:t>35000</w:t>
            </w:r>
          </w:p>
        </w:tc>
      </w:tr>
      <w:tr w:rsidR="003039B2" w14:paraId="24FB290B" w14:textId="77777777" w:rsidTr="00F729D7">
        <w:trPr>
          <w:trHeight w:val="330"/>
        </w:trPr>
        <w:tc>
          <w:tcPr>
            <w:tcW w:w="1002" w:type="dxa"/>
            <w:shd w:val="clear" w:color="000000" w:fill="FFFFFF"/>
            <w:noWrap/>
            <w:vAlign w:val="center"/>
            <w:hideMark/>
          </w:tcPr>
          <w:p w14:paraId="618506A5" w14:textId="77777777" w:rsidR="003039B2" w:rsidRDefault="003039B2" w:rsidP="00F729D7">
            <w:pPr>
              <w:jc w:val="center"/>
              <w:rPr>
                <w:rFonts w:ascii="Calibri" w:hAnsi="Calibri" w:cs="Calibri"/>
                <w:color w:val="000000"/>
              </w:rPr>
            </w:pPr>
            <w:r>
              <w:rPr>
                <w:rFonts w:ascii="Calibri" w:hAnsi="Calibri" w:cs="Calibri"/>
                <w:color w:val="000000"/>
              </w:rPr>
              <w:t>B88324</w:t>
            </w:r>
          </w:p>
        </w:tc>
        <w:tc>
          <w:tcPr>
            <w:tcW w:w="1823" w:type="dxa"/>
            <w:shd w:val="clear" w:color="000000" w:fill="FFFFFF"/>
            <w:noWrap/>
            <w:vAlign w:val="center"/>
            <w:hideMark/>
          </w:tcPr>
          <w:p w14:paraId="475CDB1B" w14:textId="77777777" w:rsidR="003039B2" w:rsidRDefault="003039B2" w:rsidP="00F729D7">
            <w:pPr>
              <w:jc w:val="center"/>
              <w:rPr>
                <w:rFonts w:ascii="Calibri" w:hAnsi="Calibri" w:cs="Calibri"/>
                <w:color w:val="000000"/>
              </w:rPr>
            </w:pPr>
            <w:r>
              <w:rPr>
                <w:rFonts w:ascii="Calibri" w:hAnsi="Calibri" w:cs="Calibri"/>
                <w:color w:val="000000"/>
              </w:rPr>
              <w:t>Storage</w:t>
            </w:r>
          </w:p>
        </w:tc>
        <w:tc>
          <w:tcPr>
            <w:tcW w:w="4536" w:type="dxa"/>
            <w:shd w:val="clear" w:color="000000" w:fill="FFFFFF"/>
            <w:vAlign w:val="center"/>
            <w:hideMark/>
          </w:tcPr>
          <w:p w14:paraId="504E7B9E" w14:textId="77777777" w:rsidR="003039B2" w:rsidRPr="003039B2" w:rsidRDefault="003039B2" w:rsidP="00F729D7">
            <w:pPr>
              <w:rPr>
                <w:rFonts w:ascii="Calibri" w:hAnsi="Calibri" w:cs="Calibri"/>
                <w:color w:val="000000"/>
                <w:lang w:val="en-US"/>
              </w:rPr>
            </w:pPr>
            <w:r w:rsidRPr="003039B2">
              <w:rPr>
                <w:rFonts w:ascii="Calibri" w:hAnsi="Calibri" w:cs="Calibri"/>
                <w:color w:val="000000"/>
                <w:lang w:val="en-US"/>
              </w:rPr>
              <w:t>Oracle Cloud Infrastructure - Object Storage - Storage (GB/</w:t>
            </w:r>
            <w:proofErr w:type="spellStart"/>
            <w:r w:rsidRPr="00F729D7">
              <w:rPr>
                <w:rFonts w:ascii="Calibri" w:hAnsi="Calibri" w:cs="Calibri"/>
                <w:color w:val="000000"/>
                <w:lang w:val="en-US"/>
              </w:rPr>
              <w:t>Mese</w:t>
            </w:r>
            <w:proofErr w:type="spellEnd"/>
            <w:r w:rsidRPr="00F729D7">
              <w:rPr>
                <w:rFonts w:ascii="Calibri" w:hAnsi="Calibri" w:cs="Calibri"/>
                <w:color w:val="000000"/>
                <w:lang w:val="en-US"/>
              </w:rPr>
              <w:t>)</w:t>
            </w:r>
          </w:p>
        </w:tc>
        <w:tc>
          <w:tcPr>
            <w:tcW w:w="2552" w:type="dxa"/>
            <w:gridSpan w:val="2"/>
            <w:shd w:val="clear" w:color="000000" w:fill="FFFFFF"/>
            <w:noWrap/>
            <w:vAlign w:val="center"/>
            <w:hideMark/>
          </w:tcPr>
          <w:p w14:paraId="6DE929F2" w14:textId="77777777" w:rsidR="003039B2" w:rsidRDefault="003039B2" w:rsidP="00F729D7">
            <w:pPr>
              <w:jc w:val="center"/>
              <w:rPr>
                <w:rFonts w:ascii="Calibri" w:hAnsi="Calibri" w:cs="Calibri"/>
                <w:color w:val="000000"/>
              </w:rPr>
            </w:pPr>
            <w:r>
              <w:rPr>
                <w:rFonts w:ascii="Calibri" w:hAnsi="Calibri" w:cs="Calibri"/>
                <w:color w:val="000000"/>
              </w:rPr>
              <w:t>60000</w:t>
            </w:r>
          </w:p>
        </w:tc>
      </w:tr>
      <w:tr w:rsidR="003039B2" w14:paraId="6152799C" w14:textId="77777777" w:rsidTr="00F729D7">
        <w:trPr>
          <w:trHeight w:val="645"/>
        </w:trPr>
        <w:tc>
          <w:tcPr>
            <w:tcW w:w="1002" w:type="dxa"/>
            <w:shd w:val="clear" w:color="000000" w:fill="FFFFFF"/>
            <w:noWrap/>
            <w:vAlign w:val="center"/>
            <w:hideMark/>
          </w:tcPr>
          <w:p w14:paraId="526255D9" w14:textId="77777777" w:rsidR="003039B2" w:rsidRDefault="003039B2" w:rsidP="00F729D7">
            <w:pPr>
              <w:jc w:val="center"/>
              <w:rPr>
                <w:rFonts w:ascii="Calibri" w:hAnsi="Calibri" w:cs="Calibri"/>
                <w:color w:val="000000"/>
              </w:rPr>
            </w:pPr>
            <w:r>
              <w:rPr>
                <w:rFonts w:ascii="Calibri" w:hAnsi="Calibri" w:cs="Calibri"/>
                <w:color w:val="000000"/>
              </w:rPr>
              <w:t>B88323</w:t>
            </w:r>
          </w:p>
        </w:tc>
        <w:tc>
          <w:tcPr>
            <w:tcW w:w="1823" w:type="dxa"/>
            <w:shd w:val="clear" w:color="000000" w:fill="FFFFFF"/>
            <w:noWrap/>
            <w:vAlign w:val="center"/>
            <w:hideMark/>
          </w:tcPr>
          <w:p w14:paraId="21845148" w14:textId="77777777" w:rsidR="003039B2" w:rsidRDefault="003039B2" w:rsidP="00F729D7">
            <w:pPr>
              <w:jc w:val="center"/>
              <w:rPr>
                <w:rFonts w:ascii="Calibri" w:hAnsi="Calibri" w:cs="Calibri"/>
                <w:color w:val="000000"/>
              </w:rPr>
            </w:pPr>
            <w:r>
              <w:rPr>
                <w:rFonts w:ascii="Calibri" w:hAnsi="Calibri" w:cs="Calibri"/>
                <w:color w:val="000000"/>
              </w:rPr>
              <w:t>Storage</w:t>
            </w:r>
          </w:p>
        </w:tc>
        <w:tc>
          <w:tcPr>
            <w:tcW w:w="4536" w:type="dxa"/>
            <w:shd w:val="clear" w:color="000000" w:fill="FFFFFF"/>
            <w:vAlign w:val="center"/>
            <w:hideMark/>
          </w:tcPr>
          <w:p w14:paraId="6C2EFCC3" w14:textId="77777777" w:rsidR="003039B2" w:rsidRPr="003039B2" w:rsidRDefault="003039B2" w:rsidP="00F729D7">
            <w:pPr>
              <w:rPr>
                <w:rFonts w:ascii="Calibri" w:hAnsi="Calibri" w:cs="Calibri"/>
                <w:color w:val="000000"/>
                <w:lang w:val="en-US"/>
              </w:rPr>
            </w:pPr>
            <w:r w:rsidRPr="003039B2">
              <w:rPr>
                <w:rFonts w:ascii="Calibri" w:hAnsi="Calibri" w:cs="Calibri"/>
                <w:color w:val="000000"/>
                <w:lang w:val="en-US"/>
              </w:rPr>
              <w:t xml:space="preserve">Oracle Cloud Infrastructure - Object Storage - Requests (10,000 </w:t>
            </w:r>
            <w:proofErr w:type="spellStart"/>
            <w:r w:rsidRPr="003039B2">
              <w:rPr>
                <w:rFonts w:ascii="Calibri" w:hAnsi="Calibri" w:cs="Calibri"/>
                <w:color w:val="000000"/>
                <w:lang w:val="en-US"/>
              </w:rPr>
              <w:t>Richieste</w:t>
            </w:r>
            <w:proofErr w:type="spellEnd"/>
            <w:r w:rsidRPr="003039B2">
              <w:rPr>
                <w:rFonts w:ascii="Calibri" w:hAnsi="Calibri" w:cs="Calibri"/>
                <w:color w:val="000000"/>
                <w:lang w:val="en-US"/>
              </w:rPr>
              <w:t>/</w:t>
            </w:r>
            <w:proofErr w:type="spellStart"/>
            <w:r w:rsidRPr="00F729D7">
              <w:rPr>
                <w:rFonts w:ascii="Calibri" w:hAnsi="Calibri" w:cs="Calibri"/>
                <w:color w:val="000000"/>
                <w:lang w:val="en-US"/>
              </w:rPr>
              <w:t>Mese</w:t>
            </w:r>
            <w:proofErr w:type="spellEnd"/>
            <w:r w:rsidRPr="00F729D7">
              <w:rPr>
                <w:rFonts w:ascii="Calibri" w:hAnsi="Calibri" w:cs="Calibri"/>
                <w:color w:val="000000"/>
                <w:lang w:val="en-US"/>
              </w:rPr>
              <w:t>)</w:t>
            </w:r>
          </w:p>
        </w:tc>
        <w:tc>
          <w:tcPr>
            <w:tcW w:w="2552" w:type="dxa"/>
            <w:gridSpan w:val="2"/>
            <w:shd w:val="clear" w:color="000000" w:fill="FFFFFF"/>
            <w:noWrap/>
            <w:vAlign w:val="center"/>
            <w:hideMark/>
          </w:tcPr>
          <w:p w14:paraId="61A3BB3A" w14:textId="77777777" w:rsidR="003039B2" w:rsidRDefault="003039B2" w:rsidP="00F729D7">
            <w:pPr>
              <w:jc w:val="center"/>
              <w:rPr>
                <w:rFonts w:ascii="Calibri" w:hAnsi="Calibri" w:cs="Calibri"/>
                <w:color w:val="000000"/>
              </w:rPr>
            </w:pPr>
            <w:r>
              <w:rPr>
                <w:rFonts w:ascii="Calibri" w:hAnsi="Calibri" w:cs="Calibri"/>
                <w:color w:val="000000"/>
              </w:rPr>
              <w:t>100</w:t>
            </w:r>
          </w:p>
        </w:tc>
      </w:tr>
      <w:tr w:rsidR="003039B2" w14:paraId="6C02E215" w14:textId="77777777" w:rsidTr="00F729D7">
        <w:trPr>
          <w:trHeight w:val="330"/>
        </w:trPr>
        <w:tc>
          <w:tcPr>
            <w:tcW w:w="1002" w:type="dxa"/>
            <w:shd w:val="clear" w:color="000000" w:fill="FFFFFF"/>
            <w:noWrap/>
            <w:vAlign w:val="center"/>
            <w:hideMark/>
          </w:tcPr>
          <w:p w14:paraId="341031D6" w14:textId="77777777" w:rsidR="003039B2" w:rsidRDefault="003039B2" w:rsidP="00F729D7">
            <w:pPr>
              <w:jc w:val="center"/>
              <w:rPr>
                <w:rFonts w:ascii="Calibri" w:hAnsi="Calibri" w:cs="Calibri"/>
                <w:color w:val="000000"/>
              </w:rPr>
            </w:pPr>
            <w:r>
              <w:rPr>
                <w:rFonts w:ascii="Calibri" w:hAnsi="Calibri" w:cs="Calibri"/>
                <w:color w:val="000000"/>
              </w:rPr>
              <w:t>B89057</w:t>
            </w:r>
          </w:p>
        </w:tc>
        <w:tc>
          <w:tcPr>
            <w:tcW w:w="1823" w:type="dxa"/>
            <w:shd w:val="clear" w:color="000000" w:fill="FFFFFF"/>
            <w:noWrap/>
            <w:vAlign w:val="center"/>
            <w:hideMark/>
          </w:tcPr>
          <w:p w14:paraId="6C54A240" w14:textId="77777777" w:rsidR="003039B2" w:rsidRDefault="003039B2" w:rsidP="00F729D7">
            <w:pPr>
              <w:jc w:val="center"/>
              <w:rPr>
                <w:rFonts w:ascii="Calibri" w:hAnsi="Calibri" w:cs="Calibri"/>
                <w:color w:val="000000"/>
              </w:rPr>
            </w:pPr>
            <w:r>
              <w:rPr>
                <w:rFonts w:ascii="Calibri" w:hAnsi="Calibri" w:cs="Calibri"/>
                <w:color w:val="000000"/>
              </w:rPr>
              <w:t>Storage</w:t>
            </w:r>
          </w:p>
        </w:tc>
        <w:tc>
          <w:tcPr>
            <w:tcW w:w="4536" w:type="dxa"/>
            <w:shd w:val="clear" w:color="000000" w:fill="FFFFFF"/>
            <w:vAlign w:val="center"/>
            <w:hideMark/>
          </w:tcPr>
          <w:p w14:paraId="05E16458"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File Storage (GB/</w:t>
            </w:r>
            <w:proofErr w:type="spellStart"/>
            <w:r w:rsidRPr="00F729D7">
              <w:rPr>
                <w:rFonts w:ascii="Calibri" w:hAnsi="Calibri" w:cs="Calibri"/>
                <w:color w:val="000000"/>
                <w:lang w:val="en-US"/>
              </w:rPr>
              <w:t>Mese</w:t>
            </w:r>
            <w:proofErr w:type="spellEnd"/>
            <w:r w:rsidRPr="00F729D7">
              <w:rPr>
                <w:rFonts w:ascii="Calibri" w:hAnsi="Calibri" w:cs="Calibri"/>
                <w:color w:val="000000"/>
                <w:lang w:val="en-US"/>
              </w:rPr>
              <w:t>)</w:t>
            </w:r>
          </w:p>
        </w:tc>
        <w:tc>
          <w:tcPr>
            <w:tcW w:w="2552" w:type="dxa"/>
            <w:gridSpan w:val="2"/>
            <w:shd w:val="clear" w:color="000000" w:fill="FFFFFF"/>
            <w:noWrap/>
            <w:vAlign w:val="center"/>
            <w:hideMark/>
          </w:tcPr>
          <w:p w14:paraId="32D33772" w14:textId="77777777" w:rsidR="003039B2" w:rsidRDefault="003039B2" w:rsidP="00F729D7">
            <w:pPr>
              <w:jc w:val="center"/>
              <w:rPr>
                <w:rFonts w:ascii="Calibri" w:hAnsi="Calibri" w:cs="Calibri"/>
                <w:color w:val="000000"/>
              </w:rPr>
            </w:pPr>
            <w:r>
              <w:rPr>
                <w:rFonts w:ascii="Calibri" w:hAnsi="Calibri" w:cs="Calibri"/>
                <w:color w:val="000000"/>
              </w:rPr>
              <w:t>13000</w:t>
            </w:r>
          </w:p>
        </w:tc>
      </w:tr>
      <w:tr w:rsidR="00F729D7" w14:paraId="690662A7" w14:textId="77777777" w:rsidTr="00F729D7">
        <w:trPr>
          <w:trHeight w:val="330"/>
        </w:trPr>
        <w:tc>
          <w:tcPr>
            <w:tcW w:w="1002" w:type="dxa"/>
            <w:shd w:val="clear" w:color="auto" w:fill="auto"/>
            <w:noWrap/>
            <w:vAlign w:val="center"/>
            <w:hideMark/>
          </w:tcPr>
          <w:p w14:paraId="45A83F62" w14:textId="77777777" w:rsidR="003039B2" w:rsidRDefault="003039B2" w:rsidP="00F729D7">
            <w:pPr>
              <w:jc w:val="center"/>
              <w:rPr>
                <w:rFonts w:ascii="Calibri" w:hAnsi="Calibri" w:cs="Calibri"/>
                <w:color w:val="000000"/>
              </w:rPr>
            </w:pPr>
            <w:r>
              <w:rPr>
                <w:rFonts w:ascii="Calibri" w:hAnsi="Calibri" w:cs="Calibri"/>
                <w:color w:val="000000"/>
              </w:rPr>
              <w:t>B88319</w:t>
            </w:r>
          </w:p>
        </w:tc>
        <w:tc>
          <w:tcPr>
            <w:tcW w:w="1823" w:type="dxa"/>
            <w:shd w:val="clear" w:color="000000" w:fill="FFFFFF"/>
            <w:noWrap/>
            <w:vAlign w:val="center"/>
            <w:hideMark/>
          </w:tcPr>
          <w:p w14:paraId="629460E6" w14:textId="77777777" w:rsidR="003039B2" w:rsidRDefault="003039B2" w:rsidP="00F729D7">
            <w:pPr>
              <w:jc w:val="center"/>
              <w:rPr>
                <w:rFonts w:ascii="Calibri" w:hAnsi="Calibri" w:cs="Calibri"/>
                <w:color w:val="000000"/>
              </w:rPr>
            </w:pPr>
            <w:proofErr w:type="spellStart"/>
            <w:r>
              <w:rPr>
                <w:rFonts w:ascii="Calibri" w:hAnsi="Calibri" w:cs="Calibri"/>
                <w:color w:val="000000"/>
              </w:rPr>
              <w:t>Infrastructure</w:t>
            </w:r>
            <w:proofErr w:type="spellEnd"/>
          </w:p>
        </w:tc>
        <w:tc>
          <w:tcPr>
            <w:tcW w:w="4536" w:type="dxa"/>
            <w:shd w:val="clear" w:color="auto" w:fill="auto"/>
            <w:vAlign w:val="center"/>
            <w:hideMark/>
          </w:tcPr>
          <w:p w14:paraId="715650A3"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- 100 Mbps Load Balancer (</w:t>
            </w:r>
            <w:proofErr w:type="spellStart"/>
            <w:r w:rsidRPr="00F729D7">
              <w:rPr>
                <w:rFonts w:ascii="Calibri" w:hAnsi="Calibri" w:cs="Calibri"/>
                <w:color w:val="000000"/>
                <w:lang w:val="en-US"/>
              </w:rPr>
              <w:t>Quantità</w:t>
            </w:r>
            <w:proofErr w:type="spellEnd"/>
            <w:r w:rsidRPr="00F729D7">
              <w:rPr>
                <w:rFonts w:ascii="Calibri" w:hAnsi="Calibri" w:cs="Calibri"/>
                <w:color w:val="000000"/>
                <w:lang w:val="en-US"/>
              </w:rPr>
              <w:t>/</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17606B70" w14:textId="77777777" w:rsidR="003039B2" w:rsidRDefault="003039B2" w:rsidP="00F729D7">
            <w:pPr>
              <w:jc w:val="center"/>
              <w:rPr>
                <w:rFonts w:ascii="Calibri" w:hAnsi="Calibri" w:cs="Calibri"/>
                <w:color w:val="000000"/>
              </w:rPr>
            </w:pPr>
            <w:r>
              <w:rPr>
                <w:rFonts w:ascii="Calibri" w:hAnsi="Calibri" w:cs="Calibri"/>
                <w:color w:val="000000"/>
              </w:rPr>
              <w:t>3</w:t>
            </w:r>
          </w:p>
        </w:tc>
      </w:tr>
      <w:tr w:rsidR="00F729D7" w14:paraId="2BAF5588" w14:textId="77777777" w:rsidTr="00F729D7">
        <w:trPr>
          <w:trHeight w:val="330"/>
        </w:trPr>
        <w:tc>
          <w:tcPr>
            <w:tcW w:w="1002" w:type="dxa"/>
            <w:shd w:val="clear" w:color="auto" w:fill="auto"/>
            <w:noWrap/>
            <w:vAlign w:val="center"/>
            <w:hideMark/>
          </w:tcPr>
          <w:p w14:paraId="35039F00" w14:textId="77777777" w:rsidR="003039B2" w:rsidRDefault="003039B2" w:rsidP="00F729D7">
            <w:pPr>
              <w:jc w:val="center"/>
              <w:rPr>
                <w:rFonts w:ascii="Calibri" w:hAnsi="Calibri" w:cs="Calibri"/>
                <w:color w:val="000000"/>
              </w:rPr>
            </w:pPr>
            <w:r>
              <w:rPr>
                <w:rFonts w:ascii="Calibri" w:hAnsi="Calibri" w:cs="Calibri"/>
                <w:color w:val="000000"/>
              </w:rPr>
              <w:t>B88326</w:t>
            </w:r>
          </w:p>
        </w:tc>
        <w:tc>
          <w:tcPr>
            <w:tcW w:w="1823" w:type="dxa"/>
            <w:shd w:val="clear" w:color="000000" w:fill="FFFFFF"/>
            <w:noWrap/>
            <w:vAlign w:val="center"/>
            <w:hideMark/>
          </w:tcPr>
          <w:p w14:paraId="66F77FEA" w14:textId="77777777" w:rsidR="003039B2" w:rsidRDefault="003039B2" w:rsidP="00F729D7">
            <w:pPr>
              <w:jc w:val="center"/>
              <w:rPr>
                <w:rFonts w:ascii="Calibri" w:hAnsi="Calibri" w:cs="Calibri"/>
                <w:color w:val="000000"/>
              </w:rPr>
            </w:pPr>
            <w:proofErr w:type="spellStart"/>
            <w:r>
              <w:rPr>
                <w:rFonts w:ascii="Calibri" w:hAnsi="Calibri" w:cs="Calibri"/>
                <w:color w:val="000000"/>
              </w:rPr>
              <w:t>Infrastructure</w:t>
            </w:r>
            <w:proofErr w:type="spellEnd"/>
          </w:p>
        </w:tc>
        <w:tc>
          <w:tcPr>
            <w:tcW w:w="4536" w:type="dxa"/>
            <w:shd w:val="clear" w:color="auto" w:fill="auto"/>
            <w:vAlign w:val="center"/>
            <w:hideMark/>
          </w:tcPr>
          <w:p w14:paraId="3FF327B3"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 xml:space="preserve">Oracle Cloud Infrastructure - </w:t>
            </w:r>
            <w:proofErr w:type="spellStart"/>
            <w:r w:rsidRPr="00F729D7">
              <w:rPr>
                <w:rFonts w:ascii="Calibri" w:hAnsi="Calibri" w:cs="Calibri"/>
                <w:color w:val="000000"/>
                <w:lang w:val="en-US"/>
              </w:rPr>
              <w:t>FastConnect</w:t>
            </w:r>
            <w:proofErr w:type="spellEnd"/>
            <w:r w:rsidRPr="00F729D7">
              <w:rPr>
                <w:rFonts w:ascii="Calibri" w:hAnsi="Calibri" w:cs="Calibri"/>
                <w:color w:val="000000"/>
                <w:lang w:val="en-US"/>
              </w:rPr>
              <w:t xml:space="preserve"> 10 </w:t>
            </w:r>
            <w:proofErr w:type="spellStart"/>
            <w:r w:rsidRPr="00F729D7">
              <w:rPr>
                <w:rFonts w:ascii="Calibri" w:hAnsi="Calibri" w:cs="Calibri"/>
                <w:color w:val="000000"/>
                <w:lang w:val="en-US"/>
              </w:rPr>
              <w:t>Gbps</w:t>
            </w:r>
            <w:proofErr w:type="spellEnd"/>
            <w:r w:rsidRPr="00F729D7">
              <w:rPr>
                <w:rFonts w:ascii="Calibri" w:hAnsi="Calibri" w:cs="Calibri"/>
                <w:color w:val="000000"/>
                <w:lang w:val="en-US"/>
              </w:rPr>
              <w:t xml:space="preserve"> (Porte/</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6E46C2E2" w14:textId="77777777" w:rsidR="003039B2" w:rsidRDefault="003039B2" w:rsidP="00F729D7">
            <w:pPr>
              <w:jc w:val="center"/>
              <w:rPr>
                <w:rFonts w:ascii="Calibri" w:hAnsi="Calibri" w:cs="Calibri"/>
                <w:color w:val="000000"/>
              </w:rPr>
            </w:pPr>
            <w:r>
              <w:rPr>
                <w:rFonts w:ascii="Calibri" w:hAnsi="Calibri" w:cs="Calibri"/>
                <w:color w:val="000000"/>
              </w:rPr>
              <w:t>2</w:t>
            </w:r>
          </w:p>
        </w:tc>
      </w:tr>
      <w:tr w:rsidR="00F729D7" w14:paraId="7EC13C90" w14:textId="77777777" w:rsidTr="00F729D7">
        <w:trPr>
          <w:trHeight w:val="645"/>
        </w:trPr>
        <w:tc>
          <w:tcPr>
            <w:tcW w:w="1002" w:type="dxa"/>
            <w:shd w:val="clear" w:color="auto" w:fill="auto"/>
            <w:noWrap/>
            <w:vAlign w:val="center"/>
            <w:hideMark/>
          </w:tcPr>
          <w:p w14:paraId="00711EF2" w14:textId="77777777" w:rsidR="003039B2" w:rsidRDefault="003039B2" w:rsidP="00F729D7">
            <w:pPr>
              <w:jc w:val="center"/>
              <w:rPr>
                <w:rFonts w:ascii="Calibri" w:hAnsi="Calibri" w:cs="Calibri"/>
                <w:color w:val="000000"/>
              </w:rPr>
            </w:pPr>
            <w:r>
              <w:rPr>
                <w:rFonts w:ascii="Calibri" w:hAnsi="Calibri" w:cs="Calibri"/>
                <w:color w:val="000000"/>
              </w:rPr>
              <w:t>B88514</w:t>
            </w:r>
          </w:p>
        </w:tc>
        <w:tc>
          <w:tcPr>
            <w:tcW w:w="1823" w:type="dxa"/>
            <w:shd w:val="clear" w:color="auto" w:fill="auto"/>
            <w:vAlign w:val="center"/>
            <w:hideMark/>
          </w:tcPr>
          <w:p w14:paraId="0EBCE9E8" w14:textId="77777777" w:rsidR="003039B2" w:rsidRPr="003039B2" w:rsidRDefault="003039B2" w:rsidP="00F729D7">
            <w:pPr>
              <w:jc w:val="center"/>
              <w:rPr>
                <w:rFonts w:ascii="Calibri" w:hAnsi="Calibri" w:cs="Calibri"/>
                <w:color w:val="000000"/>
                <w:lang w:val="en-US"/>
              </w:rPr>
            </w:pPr>
            <w:proofErr w:type="spellStart"/>
            <w:r w:rsidRPr="003039B2">
              <w:rPr>
                <w:rFonts w:ascii="Calibri" w:hAnsi="Calibri" w:cs="Calibri"/>
                <w:color w:val="000000"/>
                <w:lang w:val="en-US"/>
              </w:rPr>
              <w:t>Lift&amp;Shift</w:t>
            </w:r>
            <w:proofErr w:type="spellEnd"/>
            <w:r w:rsidRPr="003039B2">
              <w:rPr>
                <w:rFonts w:ascii="Calibri" w:hAnsi="Calibri" w:cs="Calibri"/>
                <w:color w:val="000000"/>
                <w:lang w:val="en-US"/>
              </w:rPr>
              <w:t xml:space="preserve"> EBS &amp; BI Apps - FE (Migration)</w:t>
            </w:r>
          </w:p>
        </w:tc>
        <w:tc>
          <w:tcPr>
            <w:tcW w:w="4536" w:type="dxa"/>
            <w:shd w:val="clear" w:color="auto" w:fill="auto"/>
            <w:vAlign w:val="center"/>
            <w:hideMark/>
          </w:tcPr>
          <w:p w14:paraId="00662168"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Compute - Virtual Machine Standard - X7 (OCPU/</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691C53A1" w14:textId="77777777" w:rsidR="003039B2" w:rsidRDefault="003039B2" w:rsidP="00F729D7">
            <w:pPr>
              <w:jc w:val="center"/>
              <w:rPr>
                <w:rFonts w:ascii="Calibri" w:hAnsi="Calibri" w:cs="Calibri"/>
                <w:sz w:val="22"/>
                <w:szCs w:val="22"/>
              </w:rPr>
            </w:pPr>
            <w:r>
              <w:rPr>
                <w:rFonts w:ascii="Calibri" w:hAnsi="Calibri" w:cs="Calibri"/>
                <w:sz w:val="22"/>
                <w:szCs w:val="22"/>
              </w:rPr>
              <w:t>38</w:t>
            </w:r>
          </w:p>
        </w:tc>
      </w:tr>
      <w:tr w:rsidR="00F729D7" w14:paraId="4B8AEBA0" w14:textId="77777777" w:rsidTr="00F729D7">
        <w:trPr>
          <w:trHeight w:val="645"/>
        </w:trPr>
        <w:tc>
          <w:tcPr>
            <w:tcW w:w="1002" w:type="dxa"/>
            <w:shd w:val="clear" w:color="auto" w:fill="auto"/>
            <w:noWrap/>
            <w:vAlign w:val="center"/>
            <w:hideMark/>
          </w:tcPr>
          <w:p w14:paraId="563D5486" w14:textId="77777777" w:rsidR="003039B2" w:rsidRDefault="003039B2" w:rsidP="00F729D7">
            <w:pPr>
              <w:jc w:val="center"/>
              <w:rPr>
                <w:rFonts w:ascii="Calibri" w:hAnsi="Calibri" w:cs="Calibri"/>
                <w:color w:val="000000"/>
              </w:rPr>
            </w:pPr>
            <w:r>
              <w:rPr>
                <w:rFonts w:ascii="Calibri" w:hAnsi="Calibri" w:cs="Calibri"/>
                <w:color w:val="000000"/>
              </w:rPr>
              <w:t>B88514</w:t>
            </w:r>
          </w:p>
        </w:tc>
        <w:tc>
          <w:tcPr>
            <w:tcW w:w="1823" w:type="dxa"/>
            <w:shd w:val="clear" w:color="auto" w:fill="auto"/>
            <w:vAlign w:val="center"/>
            <w:hideMark/>
          </w:tcPr>
          <w:p w14:paraId="09E08E65" w14:textId="77777777" w:rsidR="003039B2" w:rsidRPr="003039B2" w:rsidRDefault="003039B2" w:rsidP="00F729D7">
            <w:pPr>
              <w:jc w:val="center"/>
              <w:rPr>
                <w:rFonts w:ascii="Calibri" w:hAnsi="Calibri" w:cs="Calibri"/>
                <w:color w:val="000000"/>
                <w:lang w:val="en-US"/>
              </w:rPr>
            </w:pPr>
            <w:proofErr w:type="spellStart"/>
            <w:r w:rsidRPr="003039B2">
              <w:rPr>
                <w:rFonts w:ascii="Calibri" w:hAnsi="Calibri" w:cs="Calibri"/>
                <w:color w:val="000000"/>
                <w:lang w:val="en-US"/>
              </w:rPr>
              <w:t>Lift&amp;Shift</w:t>
            </w:r>
            <w:proofErr w:type="spellEnd"/>
            <w:r w:rsidRPr="003039B2">
              <w:rPr>
                <w:rFonts w:ascii="Calibri" w:hAnsi="Calibri" w:cs="Calibri"/>
                <w:color w:val="000000"/>
                <w:lang w:val="en-US"/>
              </w:rPr>
              <w:t xml:space="preserve"> EBS &amp; BI Apps - FE (Queries)</w:t>
            </w:r>
          </w:p>
        </w:tc>
        <w:tc>
          <w:tcPr>
            <w:tcW w:w="4536" w:type="dxa"/>
            <w:shd w:val="clear" w:color="auto" w:fill="auto"/>
            <w:vAlign w:val="center"/>
            <w:hideMark/>
          </w:tcPr>
          <w:p w14:paraId="06C379E2"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Compute - Virtual Machine Standard - X7 (OCPU/</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142787A1" w14:textId="77777777" w:rsidR="003039B2" w:rsidRDefault="003039B2" w:rsidP="00F729D7">
            <w:pPr>
              <w:jc w:val="center"/>
              <w:rPr>
                <w:rFonts w:ascii="Calibri" w:hAnsi="Calibri" w:cs="Calibri"/>
                <w:sz w:val="22"/>
                <w:szCs w:val="22"/>
              </w:rPr>
            </w:pPr>
            <w:r>
              <w:rPr>
                <w:rFonts w:ascii="Calibri" w:hAnsi="Calibri" w:cs="Calibri"/>
                <w:sz w:val="22"/>
                <w:szCs w:val="22"/>
              </w:rPr>
              <w:t>38</w:t>
            </w:r>
          </w:p>
        </w:tc>
      </w:tr>
      <w:tr w:rsidR="00F729D7" w14:paraId="570DEEDC" w14:textId="77777777" w:rsidTr="00F729D7">
        <w:trPr>
          <w:trHeight w:val="645"/>
        </w:trPr>
        <w:tc>
          <w:tcPr>
            <w:tcW w:w="1002" w:type="dxa"/>
            <w:shd w:val="clear" w:color="auto" w:fill="auto"/>
            <w:noWrap/>
            <w:vAlign w:val="center"/>
            <w:hideMark/>
          </w:tcPr>
          <w:p w14:paraId="2B7E458C" w14:textId="77777777" w:rsidR="003039B2" w:rsidRDefault="003039B2" w:rsidP="00F729D7">
            <w:pPr>
              <w:jc w:val="center"/>
              <w:rPr>
                <w:rFonts w:ascii="Calibri" w:hAnsi="Calibri" w:cs="Calibri"/>
                <w:color w:val="000000"/>
              </w:rPr>
            </w:pPr>
            <w:r>
              <w:rPr>
                <w:rFonts w:ascii="Calibri" w:hAnsi="Calibri" w:cs="Calibri"/>
                <w:color w:val="000000"/>
              </w:rPr>
              <w:t>B88516</w:t>
            </w:r>
          </w:p>
        </w:tc>
        <w:tc>
          <w:tcPr>
            <w:tcW w:w="1823" w:type="dxa"/>
            <w:shd w:val="clear" w:color="auto" w:fill="auto"/>
            <w:vAlign w:val="center"/>
            <w:hideMark/>
          </w:tcPr>
          <w:p w14:paraId="263EDF55" w14:textId="77777777" w:rsidR="003039B2" w:rsidRPr="003039B2" w:rsidRDefault="003039B2" w:rsidP="00F729D7">
            <w:pPr>
              <w:jc w:val="center"/>
              <w:rPr>
                <w:rFonts w:ascii="Calibri" w:hAnsi="Calibri" w:cs="Calibri"/>
                <w:color w:val="000000"/>
                <w:lang w:val="en-US"/>
              </w:rPr>
            </w:pPr>
            <w:proofErr w:type="spellStart"/>
            <w:r w:rsidRPr="003039B2">
              <w:rPr>
                <w:rFonts w:ascii="Calibri" w:hAnsi="Calibri" w:cs="Calibri"/>
                <w:color w:val="000000"/>
                <w:lang w:val="en-US"/>
              </w:rPr>
              <w:t>Lift&amp;Shift</w:t>
            </w:r>
            <w:proofErr w:type="spellEnd"/>
            <w:r w:rsidRPr="003039B2">
              <w:rPr>
                <w:rFonts w:ascii="Calibri" w:hAnsi="Calibri" w:cs="Calibri"/>
                <w:color w:val="000000"/>
                <w:lang w:val="en-US"/>
              </w:rPr>
              <w:t xml:space="preserve"> EBS &amp; BI Apps - DB (Migration)</w:t>
            </w:r>
          </w:p>
        </w:tc>
        <w:tc>
          <w:tcPr>
            <w:tcW w:w="4536" w:type="dxa"/>
            <w:shd w:val="clear" w:color="auto" w:fill="auto"/>
            <w:vAlign w:val="center"/>
            <w:hideMark/>
          </w:tcPr>
          <w:p w14:paraId="550A80B1"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Compute - Virtual Machine Dense I/O - X7 (OCPU/</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0EF7E4B7" w14:textId="77777777" w:rsidR="003039B2" w:rsidRDefault="003039B2" w:rsidP="00F729D7">
            <w:pPr>
              <w:jc w:val="center"/>
              <w:rPr>
                <w:rFonts w:ascii="Calibri" w:hAnsi="Calibri" w:cs="Calibri"/>
                <w:sz w:val="22"/>
                <w:szCs w:val="22"/>
              </w:rPr>
            </w:pPr>
            <w:r>
              <w:rPr>
                <w:rFonts w:ascii="Calibri" w:hAnsi="Calibri" w:cs="Calibri"/>
                <w:sz w:val="22"/>
                <w:szCs w:val="22"/>
              </w:rPr>
              <w:t>64</w:t>
            </w:r>
          </w:p>
        </w:tc>
      </w:tr>
      <w:tr w:rsidR="00F729D7" w14:paraId="7ECAF52E" w14:textId="77777777" w:rsidTr="00F729D7">
        <w:trPr>
          <w:trHeight w:val="645"/>
        </w:trPr>
        <w:tc>
          <w:tcPr>
            <w:tcW w:w="1002" w:type="dxa"/>
            <w:shd w:val="clear" w:color="auto" w:fill="auto"/>
            <w:noWrap/>
            <w:vAlign w:val="center"/>
            <w:hideMark/>
          </w:tcPr>
          <w:p w14:paraId="4C915878" w14:textId="77777777" w:rsidR="003039B2" w:rsidRDefault="003039B2" w:rsidP="00F729D7">
            <w:pPr>
              <w:jc w:val="center"/>
              <w:rPr>
                <w:rFonts w:ascii="Calibri" w:hAnsi="Calibri" w:cs="Calibri"/>
                <w:color w:val="000000"/>
              </w:rPr>
            </w:pPr>
            <w:r>
              <w:rPr>
                <w:rFonts w:ascii="Calibri" w:hAnsi="Calibri" w:cs="Calibri"/>
                <w:color w:val="000000"/>
              </w:rPr>
              <w:t>B88516</w:t>
            </w:r>
          </w:p>
        </w:tc>
        <w:tc>
          <w:tcPr>
            <w:tcW w:w="1823" w:type="dxa"/>
            <w:shd w:val="clear" w:color="auto" w:fill="auto"/>
            <w:vAlign w:val="center"/>
            <w:hideMark/>
          </w:tcPr>
          <w:p w14:paraId="7EFBD8AB" w14:textId="77777777" w:rsidR="003039B2" w:rsidRPr="003039B2" w:rsidRDefault="003039B2" w:rsidP="00F729D7">
            <w:pPr>
              <w:jc w:val="center"/>
              <w:rPr>
                <w:rFonts w:ascii="Calibri" w:hAnsi="Calibri" w:cs="Calibri"/>
                <w:color w:val="000000"/>
                <w:lang w:val="en-US"/>
              </w:rPr>
            </w:pPr>
            <w:proofErr w:type="spellStart"/>
            <w:r w:rsidRPr="003039B2">
              <w:rPr>
                <w:rFonts w:ascii="Calibri" w:hAnsi="Calibri" w:cs="Calibri"/>
                <w:color w:val="000000"/>
                <w:lang w:val="en-US"/>
              </w:rPr>
              <w:t>Lift&amp;Shift</w:t>
            </w:r>
            <w:proofErr w:type="spellEnd"/>
            <w:r w:rsidRPr="003039B2">
              <w:rPr>
                <w:rFonts w:ascii="Calibri" w:hAnsi="Calibri" w:cs="Calibri"/>
                <w:color w:val="000000"/>
                <w:lang w:val="en-US"/>
              </w:rPr>
              <w:t xml:space="preserve"> EBS &amp; BI Apps - DB (Queries)</w:t>
            </w:r>
          </w:p>
        </w:tc>
        <w:tc>
          <w:tcPr>
            <w:tcW w:w="4536" w:type="dxa"/>
            <w:shd w:val="clear" w:color="auto" w:fill="auto"/>
            <w:vAlign w:val="center"/>
            <w:hideMark/>
          </w:tcPr>
          <w:p w14:paraId="1EB41999"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Compute - Virtual Machine Dense I/O - X7 (OCPU/</w:t>
            </w:r>
            <w:proofErr w:type="spellStart"/>
            <w:r w:rsidRPr="00F729D7">
              <w:rPr>
                <w:rFonts w:ascii="Calibri" w:hAnsi="Calibri" w:cs="Calibri"/>
                <w:color w:val="000000"/>
                <w:lang w:val="en-US"/>
              </w:rPr>
              <w:t>Ora</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7E46D79F" w14:textId="77777777" w:rsidR="003039B2" w:rsidRDefault="003039B2" w:rsidP="00F729D7">
            <w:pPr>
              <w:jc w:val="center"/>
              <w:rPr>
                <w:rFonts w:ascii="Calibri" w:hAnsi="Calibri" w:cs="Calibri"/>
                <w:sz w:val="22"/>
                <w:szCs w:val="22"/>
              </w:rPr>
            </w:pPr>
            <w:r>
              <w:rPr>
                <w:rFonts w:ascii="Calibri" w:hAnsi="Calibri" w:cs="Calibri"/>
                <w:sz w:val="22"/>
                <w:szCs w:val="22"/>
              </w:rPr>
              <w:t>64</w:t>
            </w:r>
          </w:p>
        </w:tc>
      </w:tr>
      <w:tr w:rsidR="00F729D7" w14:paraId="735043D8" w14:textId="77777777" w:rsidTr="00F729D7">
        <w:trPr>
          <w:trHeight w:val="330"/>
        </w:trPr>
        <w:tc>
          <w:tcPr>
            <w:tcW w:w="1002" w:type="dxa"/>
            <w:shd w:val="clear" w:color="auto" w:fill="auto"/>
            <w:noWrap/>
            <w:vAlign w:val="center"/>
            <w:hideMark/>
          </w:tcPr>
          <w:p w14:paraId="4B2CE0D1" w14:textId="77777777" w:rsidR="003039B2" w:rsidRDefault="003039B2" w:rsidP="00F729D7">
            <w:pPr>
              <w:jc w:val="center"/>
              <w:rPr>
                <w:rFonts w:ascii="Calibri" w:hAnsi="Calibri" w:cs="Calibri"/>
                <w:color w:val="000000"/>
              </w:rPr>
            </w:pPr>
            <w:r>
              <w:rPr>
                <w:rFonts w:ascii="Calibri" w:hAnsi="Calibri" w:cs="Calibri"/>
                <w:color w:val="000000"/>
              </w:rPr>
              <w:t>B88322</w:t>
            </w:r>
          </w:p>
        </w:tc>
        <w:tc>
          <w:tcPr>
            <w:tcW w:w="1823" w:type="dxa"/>
            <w:shd w:val="clear" w:color="auto" w:fill="auto"/>
            <w:vAlign w:val="center"/>
            <w:hideMark/>
          </w:tcPr>
          <w:p w14:paraId="13B99C8D" w14:textId="77777777" w:rsidR="003039B2" w:rsidRPr="003039B2" w:rsidRDefault="003039B2" w:rsidP="00F729D7">
            <w:pPr>
              <w:jc w:val="center"/>
              <w:rPr>
                <w:rFonts w:ascii="Calibri" w:hAnsi="Calibri" w:cs="Calibri"/>
                <w:color w:val="000000"/>
                <w:lang w:val="en-US"/>
              </w:rPr>
            </w:pPr>
            <w:proofErr w:type="spellStart"/>
            <w:r w:rsidRPr="003039B2">
              <w:rPr>
                <w:rFonts w:ascii="Calibri" w:hAnsi="Calibri" w:cs="Calibri"/>
                <w:color w:val="000000"/>
                <w:lang w:val="en-US"/>
              </w:rPr>
              <w:t>Lift&amp;Shift</w:t>
            </w:r>
            <w:proofErr w:type="spellEnd"/>
            <w:r w:rsidRPr="003039B2">
              <w:rPr>
                <w:rFonts w:ascii="Calibri" w:hAnsi="Calibri" w:cs="Calibri"/>
                <w:color w:val="000000"/>
                <w:lang w:val="en-US"/>
              </w:rPr>
              <w:t xml:space="preserve"> EBS &amp; BI Apps - FE&amp;DB (Storage)</w:t>
            </w:r>
          </w:p>
        </w:tc>
        <w:tc>
          <w:tcPr>
            <w:tcW w:w="4536" w:type="dxa"/>
            <w:shd w:val="clear" w:color="auto" w:fill="auto"/>
            <w:vAlign w:val="center"/>
            <w:hideMark/>
          </w:tcPr>
          <w:p w14:paraId="52B792E8" w14:textId="77777777" w:rsidR="003039B2" w:rsidRPr="00F729D7" w:rsidRDefault="003039B2" w:rsidP="00F729D7">
            <w:pPr>
              <w:rPr>
                <w:rFonts w:ascii="Calibri" w:hAnsi="Calibri" w:cs="Calibri"/>
                <w:color w:val="000000"/>
                <w:lang w:val="en-US"/>
              </w:rPr>
            </w:pPr>
            <w:r w:rsidRPr="00F729D7">
              <w:rPr>
                <w:rFonts w:ascii="Calibri" w:hAnsi="Calibri" w:cs="Calibri"/>
                <w:color w:val="000000"/>
                <w:lang w:val="en-US"/>
              </w:rPr>
              <w:t>Oracle Cloud Infrastructure - Block Volume (GB/</w:t>
            </w:r>
            <w:proofErr w:type="spellStart"/>
            <w:r w:rsidRPr="00F729D7">
              <w:rPr>
                <w:rFonts w:ascii="Calibri" w:hAnsi="Calibri" w:cs="Calibri"/>
                <w:color w:val="000000"/>
                <w:lang w:val="en-US"/>
              </w:rPr>
              <w:t>Mese</w:t>
            </w:r>
            <w:proofErr w:type="spellEnd"/>
            <w:r w:rsidRPr="00F729D7">
              <w:rPr>
                <w:rFonts w:ascii="Calibri" w:hAnsi="Calibri" w:cs="Calibri"/>
                <w:color w:val="000000"/>
                <w:lang w:val="en-US"/>
              </w:rPr>
              <w:t>)</w:t>
            </w:r>
          </w:p>
        </w:tc>
        <w:tc>
          <w:tcPr>
            <w:tcW w:w="2552" w:type="dxa"/>
            <w:gridSpan w:val="2"/>
            <w:shd w:val="clear" w:color="auto" w:fill="auto"/>
            <w:noWrap/>
            <w:vAlign w:val="center"/>
            <w:hideMark/>
          </w:tcPr>
          <w:p w14:paraId="678BA545" w14:textId="77777777" w:rsidR="003039B2" w:rsidRDefault="003039B2" w:rsidP="00F729D7">
            <w:pPr>
              <w:jc w:val="center"/>
              <w:rPr>
                <w:rFonts w:ascii="Calibri" w:hAnsi="Calibri" w:cs="Calibri"/>
                <w:color w:val="000000"/>
              </w:rPr>
            </w:pPr>
            <w:r>
              <w:rPr>
                <w:rFonts w:ascii="Calibri" w:hAnsi="Calibri" w:cs="Calibri"/>
                <w:color w:val="000000"/>
              </w:rPr>
              <w:t>23000</w:t>
            </w:r>
          </w:p>
        </w:tc>
      </w:tr>
    </w:tbl>
    <w:p w14:paraId="6947B85E" w14:textId="77777777" w:rsidR="00460249" w:rsidRDefault="00460249" w:rsidP="00DE554B">
      <w:pPr>
        <w:spacing w:line="276" w:lineRule="auto"/>
        <w:jc w:val="both"/>
        <w:rPr>
          <w:rFonts w:asciiTheme="minorHAnsi" w:hAnsiTheme="minorHAnsi" w:cstheme="minorHAnsi"/>
        </w:rPr>
      </w:pPr>
    </w:p>
    <w:p w14:paraId="7F78D492" w14:textId="77777777" w:rsidR="004D2801" w:rsidRPr="004D2801" w:rsidRDefault="004D2801" w:rsidP="004D2801">
      <w:pPr>
        <w:spacing w:line="276" w:lineRule="auto"/>
        <w:jc w:val="both"/>
        <w:rPr>
          <w:rFonts w:asciiTheme="minorHAnsi" w:hAnsiTheme="minorHAnsi" w:cstheme="minorHAnsi"/>
        </w:rPr>
      </w:pPr>
      <w:r w:rsidRPr="00D63A90">
        <w:rPr>
          <w:rFonts w:asciiTheme="minorHAnsi" w:hAnsiTheme="minorHAnsi" w:cstheme="minorHAnsi"/>
          <w:u w:val="single"/>
        </w:rPr>
        <w:t xml:space="preserve">Si </w:t>
      </w:r>
      <w:r w:rsidRPr="002555D0">
        <w:rPr>
          <w:rFonts w:asciiTheme="minorHAnsi" w:hAnsiTheme="minorHAnsi" w:cstheme="minorHAnsi"/>
          <w:u w:val="single"/>
        </w:rPr>
        <w:t>richiede che venga garantita la certificazione delle soluzioni end-to-end e la massima compatibilità ed interoperabilità nativa</w:t>
      </w:r>
      <w:r w:rsidRPr="002555D0">
        <w:rPr>
          <w:rFonts w:asciiTheme="minorHAnsi" w:hAnsiTheme="minorHAnsi" w:cstheme="minorHAnsi"/>
        </w:rPr>
        <w:t xml:space="preserve"> e che</w:t>
      </w:r>
      <w:r>
        <w:rPr>
          <w:rFonts w:asciiTheme="minorHAnsi" w:hAnsiTheme="minorHAnsi" w:cstheme="minorHAnsi"/>
        </w:rPr>
        <w:t xml:space="preserve"> </w:t>
      </w:r>
      <w:r w:rsidRPr="004D2801">
        <w:rPr>
          <w:rFonts w:asciiTheme="minorHAnsi" w:hAnsiTheme="minorHAnsi" w:cstheme="minorHAnsi"/>
        </w:rPr>
        <w:t xml:space="preserve">le personalizzazioni </w:t>
      </w:r>
      <w:r>
        <w:rPr>
          <w:rFonts w:asciiTheme="minorHAnsi" w:hAnsiTheme="minorHAnsi" w:cstheme="minorHAnsi"/>
        </w:rPr>
        <w:t xml:space="preserve">presenti </w:t>
      </w:r>
      <w:r w:rsidRPr="004D2801">
        <w:rPr>
          <w:rFonts w:asciiTheme="minorHAnsi" w:hAnsiTheme="minorHAnsi" w:cstheme="minorHAnsi"/>
        </w:rPr>
        <w:t>poss</w:t>
      </w:r>
      <w:r>
        <w:rPr>
          <w:rFonts w:asciiTheme="minorHAnsi" w:hAnsiTheme="minorHAnsi" w:cstheme="minorHAnsi"/>
        </w:rPr>
        <w:t>a</w:t>
      </w:r>
      <w:r w:rsidRPr="004D2801">
        <w:rPr>
          <w:rFonts w:asciiTheme="minorHAnsi" w:hAnsiTheme="minorHAnsi" w:cstheme="minorHAnsi"/>
        </w:rPr>
        <w:t>no integrarsi alla soluzione SAAS.</w:t>
      </w:r>
    </w:p>
    <w:p w14:paraId="597FF0DB" w14:textId="77777777" w:rsidR="00ED05BB" w:rsidRDefault="00ED05BB" w:rsidP="004D2801">
      <w:pPr>
        <w:spacing w:line="276" w:lineRule="auto"/>
        <w:jc w:val="both"/>
        <w:rPr>
          <w:rFonts w:asciiTheme="minorHAnsi" w:hAnsiTheme="minorHAnsi" w:cstheme="minorHAnsi"/>
        </w:rPr>
      </w:pPr>
    </w:p>
    <w:p w14:paraId="1C47D94D" w14:textId="77777777" w:rsidR="004C492F" w:rsidRDefault="004C492F" w:rsidP="004C492F">
      <w:pPr>
        <w:pStyle w:val="Paragrafoelenco"/>
        <w:numPr>
          <w:ilvl w:val="0"/>
          <w:numId w:val="14"/>
        </w:numPr>
        <w:spacing w:line="276" w:lineRule="auto"/>
        <w:jc w:val="both"/>
        <w:rPr>
          <w:rFonts w:asciiTheme="minorHAnsi" w:hAnsiTheme="minorHAnsi" w:cstheme="minorHAnsi"/>
          <w:b/>
          <w:u w:val="single"/>
        </w:rPr>
      </w:pPr>
      <w:r>
        <w:rPr>
          <w:rFonts w:asciiTheme="minorHAnsi" w:hAnsiTheme="minorHAnsi" w:cstheme="minorHAnsi"/>
          <w:b/>
          <w:u w:val="single"/>
        </w:rPr>
        <w:t>Servizi di supporto specialistico</w:t>
      </w:r>
      <w:r w:rsidRPr="00460249">
        <w:rPr>
          <w:rFonts w:asciiTheme="minorHAnsi" w:hAnsiTheme="minorHAnsi" w:cstheme="minorHAnsi"/>
          <w:b/>
          <w:u w:val="single"/>
        </w:rPr>
        <w:t>.</w:t>
      </w:r>
    </w:p>
    <w:p w14:paraId="0B682D5A" w14:textId="77777777" w:rsidR="004C492F" w:rsidRDefault="004C492F" w:rsidP="004D2801">
      <w:pPr>
        <w:spacing w:line="276" w:lineRule="auto"/>
        <w:jc w:val="both"/>
        <w:rPr>
          <w:rFonts w:asciiTheme="minorHAnsi" w:hAnsiTheme="minorHAnsi" w:cstheme="minorHAnsi"/>
        </w:rPr>
      </w:pPr>
    </w:p>
    <w:p w14:paraId="36A08906" w14:textId="77777777" w:rsidR="00C9135E" w:rsidRDefault="00C9135E" w:rsidP="00BC4F24">
      <w:pPr>
        <w:spacing w:line="276" w:lineRule="auto"/>
        <w:jc w:val="both"/>
        <w:rPr>
          <w:rFonts w:asciiTheme="minorHAnsi" w:hAnsiTheme="minorHAnsi" w:cstheme="minorHAnsi"/>
        </w:rPr>
      </w:pPr>
      <w:r>
        <w:rPr>
          <w:rFonts w:asciiTheme="minorHAnsi" w:hAnsiTheme="minorHAnsi" w:cstheme="minorHAnsi"/>
        </w:rPr>
        <w:t xml:space="preserve">La stima per questa acquisizione è di </w:t>
      </w:r>
      <w:r w:rsidR="00BC4F24" w:rsidRPr="00BC4F24">
        <w:rPr>
          <w:rFonts w:asciiTheme="minorHAnsi" w:hAnsiTheme="minorHAnsi" w:cstheme="minorHAnsi"/>
        </w:rPr>
        <w:t xml:space="preserve">circa </w:t>
      </w:r>
      <w:r w:rsidR="00BC4F24">
        <w:rPr>
          <w:rFonts w:asciiTheme="minorHAnsi" w:hAnsiTheme="minorHAnsi" w:cstheme="minorHAnsi"/>
        </w:rPr>
        <w:t>1</w:t>
      </w:r>
      <w:r w:rsidR="00BC4F24" w:rsidRPr="00BC4F24">
        <w:rPr>
          <w:rFonts w:asciiTheme="minorHAnsi" w:hAnsiTheme="minorHAnsi" w:cstheme="minorHAnsi"/>
        </w:rPr>
        <w:t>.</w:t>
      </w:r>
      <w:r w:rsidR="00BC4F24">
        <w:rPr>
          <w:rFonts w:asciiTheme="minorHAnsi" w:hAnsiTheme="minorHAnsi" w:cstheme="minorHAnsi"/>
        </w:rPr>
        <w:t>8</w:t>
      </w:r>
      <w:r>
        <w:rPr>
          <w:rFonts w:asciiTheme="minorHAnsi" w:hAnsiTheme="minorHAnsi" w:cstheme="minorHAnsi"/>
        </w:rPr>
        <w:t>00 giornate che devono essere svolte da personale che abbia accesso ai laboratori di sviluppo</w:t>
      </w:r>
      <w:r w:rsidR="00BC4F24" w:rsidRPr="00BC4F24">
        <w:rPr>
          <w:rFonts w:asciiTheme="minorHAnsi" w:hAnsiTheme="minorHAnsi" w:cstheme="minorHAnsi"/>
        </w:rPr>
        <w:t xml:space="preserve">. </w:t>
      </w:r>
    </w:p>
    <w:p w14:paraId="47B56EEA" w14:textId="77777777" w:rsidR="00BC4F24" w:rsidRPr="00BC4F24" w:rsidRDefault="00BC4F24" w:rsidP="00BC4F24">
      <w:pPr>
        <w:spacing w:line="276" w:lineRule="auto"/>
        <w:jc w:val="both"/>
        <w:rPr>
          <w:rFonts w:asciiTheme="minorHAnsi" w:hAnsiTheme="minorHAnsi" w:cstheme="minorHAnsi"/>
        </w:rPr>
      </w:pPr>
      <w:r>
        <w:rPr>
          <w:rFonts w:asciiTheme="minorHAnsi" w:hAnsiTheme="minorHAnsi" w:cstheme="minorHAnsi"/>
        </w:rPr>
        <w:t>L</w:t>
      </w:r>
      <w:r w:rsidR="00C9135E">
        <w:rPr>
          <w:rFonts w:asciiTheme="minorHAnsi" w:hAnsiTheme="minorHAnsi" w:cstheme="minorHAnsi"/>
        </w:rPr>
        <w:t>’obiettivo di tali servizi sarà</w:t>
      </w:r>
      <w:r w:rsidRPr="00BC4F24">
        <w:rPr>
          <w:rFonts w:asciiTheme="minorHAnsi" w:hAnsiTheme="minorHAnsi" w:cstheme="minorHAnsi"/>
        </w:rPr>
        <w:t>:</w:t>
      </w:r>
    </w:p>
    <w:p w14:paraId="166CE8A4" w14:textId="77777777" w:rsidR="00BC4F24" w:rsidRPr="00C9135E" w:rsidRDefault="00BC4F24" w:rsidP="00C9135E">
      <w:pPr>
        <w:pStyle w:val="Paragrafoelenco"/>
        <w:numPr>
          <w:ilvl w:val="0"/>
          <w:numId w:val="2"/>
        </w:numPr>
        <w:tabs>
          <w:tab w:val="clear" w:pos="1440"/>
          <w:tab w:val="num" w:pos="284"/>
        </w:tabs>
        <w:spacing w:line="276" w:lineRule="auto"/>
        <w:ind w:left="284" w:hanging="284"/>
        <w:jc w:val="both"/>
        <w:rPr>
          <w:rFonts w:asciiTheme="minorHAnsi" w:hAnsiTheme="minorHAnsi" w:cstheme="minorHAnsi"/>
        </w:rPr>
      </w:pPr>
      <w:r w:rsidRPr="00C9135E">
        <w:rPr>
          <w:rFonts w:asciiTheme="minorHAnsi" w:hAnsiTheme="minorHAnsi" w:cstheme="minorHAnsi"/>
        </w:rPr>
        <w:t xml:space="preserve">eseguire il disegno e la progettazione della strategia e delle metodologie di </w:t>
      </w:r>
      <w:proofErr w:type="spellStart"/>
      <w:r w:rsidRPr="00C9135E">
        <w:rPr>
          <w:rFonts w:asciiTheme="minorHAnsi" w:hAnsiTheme="minorHAnsi" w:cstheme="minorHAnsi"/>
        </w:rPr>
        <w:t>porting</w:t>
      </w:r>
      <w:proofErr w:type="spellEnd"/>
      <w:r w:rsidRPr="00C9135E">
        <w:rPr>
          <w:rFonts w:asciiTheme="minorHAnsi" w:hAnsiTheme="minorHAnsi" w:cstheme="minorHAnsi"/>
        </w:rPr>
        <w:t>,</w:t>
      </w:r>
    </w:p>
    <w:p w14:paraId="6B25A90D" w14:textId="77777777" w:rsidR="00BC4F24" w:rsidRPr="00C9135E" w:rsidRDefault="00BC4F24" w:rsidP="00C9135E">
      <w:pPr>
        <w:pStyle w:val="Paragrafoelenco"/>
        <w:numPr>
          <w:ilvl w:val="0"/>
          <w:numId w:val="2"/>
        </w:numPr>
        <w:tabs>
          <w:tab w:val="clear" w:pos="1440"/>
          <w:tab w:val="num" w:pos="284"/>
        </w:tabs>
        <w:spacing w:line="276" w:lineRule="auto"/>
        <w:ind w:left="284" w:hanging="284"/>
        <w:jc w:val="both"/>
        <w:rPr>
          <w:rFonts w:asciiTheme="minorHAnsi" w:hAnsiTheme="minorHAnsi" w:cstheme="minorHAnsi"/>
        </w:rPr>
      </w:pPr>
      <w:r w:rsidRPr="00C9135E">
        <w:rPr>
          <w:rFonts w:asciiTheme="minorHAnsi" w:hAnsiTheme="minorHAnsi" w:cstheme="minorHAnsi"/>
        </w:rPr>
        <w:lastRenderedPageBreak/>
        <w:t>definire la strategia di test ed il relativo piano attuativo,</w:t>
      </w:r>
    </w:p>
    <w:p w14:paraId="1ED350E2" w14:textId="530DD194" w:rsidR="00BC4F24" w:rsidRDefault="00BC4F24" w:rsidP="00C9135E">
      <w:pPr>
        <w:pStyle w:val="Paragrafoelenco"/>
        <w:numPr>
          <w:ilvl w:val="0"/>
          <w:numId w:val="2"/>
        </w:numPr>
        <w:tabs>
          <w:tab w:val="clear" w:pos="1440"/>
          <w:tab w:val="num" w:pos="284"/>
        </w:tabs>
        <w:spacing w:line="276" w:lineRule="auto"/>
        <w:ind w:left="284" w:hanging="284"/>
        <w:jc w:val="both"/>
        <w:rPr>
          <w:rFonts w:asciiTheme="minorHAnsi" w:hAnsiTheme="minorHAnsi" w:cstheme="minorHAnsi"/>
        </w:rPr>
      </w:pPr>
      <w:r w:rsidRPr="00C9135E">
        <w:rPr>
          <w:rFonts w:asciiTheme="minorHAnsi" w:hAnsiTheme="minorHAnsi" w:cstheme="minorHAnsi"/>
        </w:rPr>
        <w:t xml:space="preserve">eseguire attività di </w:t>
      </w:r>
      <w:proofErr w:type="spellStart"/>
      <w:r w:rsidRPr="002555D0">
        <w:rPr>
          <w:rFonts w:asciiTheme="minorHAnsi" w:hAnsiTheme="minorHAnsi" w:cstheme="minorHAnsi"/>
        </w:rPr>
        <w:t>quality</w:t>
      </w:r>
      <w:proofErr w:type="spellEnd"/>
      <w:r w:rsidRPr="002555D0">
        <w:rPr>
          <w:rFonts w:asciiTheme="minorHAnsi" w:hAnsiTheme="minorHAnsi" w:cstheme="minorHAnsi"/>
        </w:rPr>
        <w:t xml:space="preserve"> </w:t>
      </w:r>
      <w:proofErr w:type="spellStart"/>
      <w:r w:rsidRPr="002555D0">
        <w:rPr>
          <w:rFonts w:asciiTheme="minorHAnsi" w:hAnsiTheme="minorHAnsi" w:cstheme="minorHAnsi"/>
        </w:rPr>
        <w:t>assurance</w:t>
      </w:r>
      <w:proofErr w:type="spellEnd"/>
      <w:r w:rsidRPr="002555D0">
        <w:rPr>
          <w:rFonts w:asciiTheme="minorHAnsi" w:hAnsiTheme="minorHAnsi" w:cstheme="minorHAnsi"/>
        </w:rPr>
        <w:t xml:space="preserve"> su quanto realizzato da Fornitori Terzi impiegati nella realizzazione fisica del </w:t>
      </w:r>
      <w:proofErr w:type="spellStart"/>
      <w:r w:rsidRPr="002555D0">
        <w:rPr>
          <w:rFonts w:asciiTheme="minorHAnsi" w:hAnsiTheme="minorHAnsi" w:cstheme="minorHAnsi"/>
        </w:rPr>
        <w:t>porting</w:t>
      </w:r>
      <w:proofErr w:type="spellEnd"/>
      <w:r w:rsidRPr="002555D0">
        <w:rPr>
          <w:rFonts w:asciiTheme="minorHAnsi" w:hAnsiTheme="minorHAnsi" w:cstheme="minorHAnsi"/>
        </w:rPr>
        <w:t>.</w:t>
      </w:r>
    </w:p>
    <w:p w14:paraId="2A05B938" w14:textId="77777777" w:rsidR="002F634E" w:rsidRPr="002F634E" w:rsidRDefault="002F634E" w:rsidP="002F634E">
      <w:pPr>
        <w:pStyle w:val="Titolo1"/>
        <w:numPr>
          <w:ilvl w:val="0"/>
          <w:numId w:val="0"/>
        </w:numPr>
        <w:rPr>
          <w:rFonts w:ascii="Calibri" w:hAnsi="Calibri"/>
          <w:szCs w:val="22"/>
        </w:rPr>
      </w:pPr>
      <w:r w:rsidRPr="002F634E">
        <w:rPr>
          <w:rFonts w:ascii="Calibri" w:hAnsi="Calibri"/>
          <w:szCs w:val="22"/>
        </w:rPr>
        <w:t xml:space="preserve">Costi attesi </w:t>
      </w:r>
    </w:p>
    <w:p w14:paraId="542DF667" w14:textId="15CD1D55" w:rsidR="002F634E" w:rsidRDefault="002F634E" w:rsidP="002F634E">
      <w:pPr>
        <w:spacing w:line="276" w:lineRule="auto"/>
        <w:jc w:val="both"/>
        <w:rPr>
          <w:rFonts w:asciiTheme="minorHAnsi" w:hAnsiTheme="minorHAnsi" w:cstheme="minorHAnsi"/>
        </w:rPr>
      </w:pPr>
      <w:r w:rsidRPr="002F634E">
        <w:rPr>
          <w:rFonts w:asciiTheme="minorHAnsi" w:hAnsiTheme="minorHAnsi" w:cstheme="minorHAnsi"/>
        </w:rPr>
        <w:t>Il massimale contrattuale sti</w:t>
      </w:r>
      <w:r>
        <w:rPr>
          <w:rFonts w:asciiTheme="minorHAnsi" w:hAnsiTheme="minorHAnsi" w:cstheme="minorHAnsi"/>
        </w:rPr>
        <w:t xml:space="preserve">mato per l’iniziativa è pari a circa </w:t>
      </w:r>
      <w:r w:rsidRPr="002F634E">
        <w:rPr>
          <w:rFonts w:asciiTheme="minorHAnsi" w:hAnsiTheme="minorHAnsi" w:cstheme="minorHAnsi"/>
        </w:rPr>
        <w:t xml:space="preserve">€ </w:t>
      </w:r>
      <w:r>
        <w:rPr>
          <w:rFonts w:asciiTheme="minorHAnsi" w:hAnsiTheme="minorHAnsi" w:cstheme="minorHAnsi"/>
        </w:rPr>
        <w:t>12.500.000, IVA esclusa</w:t>
      </w:r>
      <w:r w:rsidRPr="002F634E">
        <w:rPr>
          <w:rFonts w:asciiTheme="minorHAnsi" w:hAnsiTheme="minorHAnsi" w:cstheme="minorHAnsi"/>
        </w:rPr>
        <w:t>.</w:t>
      </w:r>
    </w:p>
    <w:p w14:paraId="45B7EA39" w14:textId="77777777" w:rsidR="002F634E" w:rsidRPr="002F634E" w:rsidRDefault="002F634E" w:rsidP="002F634E">
      <w:pPr>
        <w:spacing w:line="276" w:lineRule="auto"/>
        <w:jc w:val="both"/>
        <w:rPr>
          <w:rFonts w:asciiTheme="minorHAnsi" w:hAnsiTheme="minorHAnsi" w:cstheme="minorHAnsi"/>
        </w:rPr>
      </w:pPr>
    </w:p>
    <w:p w14:paraId="4EA98D1B" w14:textId="43FB9EDC" w:rsidR="005A2D00" w:rsidRPr="00DE554B" w:rsidRDefault="002F634E" w:rsidP="00BC4F24">
      <w:pPr>
        <w:spacing w:line="276" w:lineRule="auto"/>
        <w:jc w:val="both"/>
        <w:rPr>
          <w:rFonts w:asciiTheme="minorHAnsi" w:hAnsiTheme="minorHAnsi" w:cstheme="minorHAnsi"/>
        </w:rPr>
      </w:pPr>
      <w:r w:rsidRPr="002F634E">
        <w:rPr>
          <w:rFonts w:asciiTheme="minorHAnsi" w:hAnsiTheme="minorHAnsi" w:cstheme="minorHAnsi"/>
        </w:rPr>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14:paraId="5997120F" w14:textId="77777777"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14:paraId="139CADB5" w14:textId="77777777" w:rsidR="00C50638" w:rsidRPr="00C43BE7"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6CFE2C8" w14:textId="77777777" w:rsidTr="00DE554B">
        <w:trPr>
          <w:trHeight w:val="1824"/>
        </w:trPr>
        <w:tc>
          <w:tcPr>
            <w:tcW w:w="8494" w:type="dxa"/>
            <w:shd w:val="clear" w:color="auto" w:fill="F2F2F2" w:themeFill="background1" w:themeFillShade="F2"/>
          </w:tcPr>
          <w:p w14:paraId="7CC0AD93" w14:textId="77777777" w:rsidR="00132904" w:rsidRPr="00402B52" w:rsidRDefault="00132904" w:rsidP="00402B52">
            <w:pPr>
              <w:jc w:val="both"/>
              <w:rPr>
                <w:rFonts w:asciiTheme="minorHAnsi" w:hAnsiTheme="minorHAnsi" w:cs="Arial"/>
                <w:bCs/>
                <w:sz w:val="20"/>
                <w:szCs w:val="20"/>
              </w:rPr>
            </w:pPr>
          </w:p>
        </w:tc>
      </w:tr>
    </w:tbl>
    <w:p w14:paraId="703BC83A" w14:textId="77777777" w:rsidR="00C50638" w:rsidRDefault="00C50638" w:rsidP="00486B8C">
      <w:pPr>
        <w:spacing w:line="360" w:lineRule="auto"/>
        <w:jc w:val="both"/>
        <w:rPr>
          <w:rFonts w:ascii="Calibri" w:hAnsi="Calibri" w:cs="Arial"/>
          <w:sz w:val="20"/>
          <w:szCs w:val="20"/>
        </w:rPr>
      </w:pPr>
    </w:p>
    <w:p w14:paraId="407D5467" w14:textId="662950DD" w:rsidR="00EB536E" w:rsidRPr="005A2D00" w:rsidRDefault="00EB536E" w:rsidP="00CB58D8">
      <w:pPr>
        <w:numPr>
          <w:ilvl w:val="0"/>
          <w:numId w:val="5"/>
        </w:numPr>
        <w:spacing w:after="120" w:line="276" w:lineRule="auto"/>
        <w:ind w:left="357" w:hanging="357"/>
        <w:jc w:val="both"/>
        <w:rPr>
          <w:rFonts w:ascii="Calibri" w:hAnsi="Calibri" w:cs="Arial"/>
          <w:sz w:val="20"/>
          <w:szCs w:val="20"/>
        </w:rPr>
      </w:pPr>
      <w:r w:rsidRPr="005A2D00">
        <w:rPr>
          <w:rFonts w:ascii="Calibri" w:hAnsi="Calibri" w:cs="Arial"/>
          <w:sz w:val="20"/>
          <w:szCs w:val="20"/>
        </w:rPr>
        <w:t>In relazione a</w:t>
      </w:r>
      <w:r w:rsidR="00915B06" w:rsidRPr="005A2D00">
        <w:rPr>
          <w:rFonts w:ascii="Calibri" w:hAnsi="Calibri" w:cs="Arial"/>
          <w:sz w:val="20"/>
          <w:szCs w:val="20"/>
        </w:rPr>
        <w:t xml:space="preserve"> </w:t>
      </w:r>
      <w:r w:rsidR="00170448" w:rsidRPr="005A2D00">
        <w:rPr>
          <w:rFonts w:ascii="Calibri" w:hAnsi="Calibri" w:cs="Arial"/>
          <w:sz w:val="20"/>
          <w:szCs w:val="20"/>
        </w:rPr>
        <w:t xml:space="preserve">quanto compreso nell’oggetto </w:t>
      </w:r>
      <w:r w:rsidR="002B2566" w:rsidRPr="005A2D00">
        <w:rPr>
          <w:rFonts w:ascii="Calibri" w:hAnsi="Calibri" w:cs="Arial"/>
          <w:sz w:val="20"/>
          <w:szCs w:val="20"/>
        </w:rPr>
        <w:t>dell’iniziativa</w:t>
      </w:r>
      <w:r w:rsidR="005A2D00" w:rsidRPr="005A2D00">
        <w:rPr>
          <w:rFonts w:ascii="Calibri" w:hAnsi="Calibri" w:cs="Arial"/>
          <w:sz w:val="20"/>
          <w:szCs w:val="20"/>
        </w:rPr>
        <w:t xml:space="preserve"> 1) servizi </w:t>
      </w:r>
      <w:proofErr w:type="spellStart"/>
      <w:r w:rsidR="005A2D00" w:rsidRPr="005A2D00">
        <w:rPr>
          <w:rFonts w:ascii="Calibri" w:hAnsi="Calibri" w:cs="Arial"/>
          <w:sz w:val="20"/>
          <w:szCs w:val="20"/>
        </w:rPr>
        <w:t>cloud</w:t>
      </w:r>
      <w:proofErr w:type="spellEnd"/>
      <w:r w:rsidR="005A2D00" w:rsidRPr="005A2D00">
        <w:rPr>
          <w:rFonts w:ascii="Calibri" w:hAnsi="Calibri" w:cs="Arial"/>
          <w:sz w:val="20"/>
          <w:szCs w:val="20"/>
        </w:rPr>
        <w:t xml:space="preserve"> Oracle </w:t>
      </w:r>
      <w:proofErr w:type="spellStart"/>
      <w:r w:rsidR="005A2D00" w:rsidRPr="005A2D00">
        <w:rPr>
          <w:rFonts w:ascii="Calibri" w:hAnsi="Calibri" w:cs="Arial"/>
          <w:sz w:val="20"/>
          <w:szCs w:val="20"/>
        </w:rPr>
        <w:t>Saas</w:t>
      </w:r>
      <w:proofErr w:type="spellEnd"/>
      <w:r w:rsidR="005A2D00" w:rsidRPr="005A2D00">
        <w:rPr>
          <w:rFonts w:ascii="Calibri" w:hAnsi="Calibri" w:cs="Arial"/>
          <w:sz w:val="20"/>
          <w:szCs w:val="20"/>
        </w:rPr>
        <w:t xml:space="preserve">; 2) servizi </w:t>
      </w:r>
      <w:proofErr w:type="spellStart"/>
      <w:r w:rsidR="005A2D00" w:rsidRPr="005A2D00">
        <w:rPr>
          <w:rFonts w:ascii="Calibri" w:hAnsi="Calibri" w:cs="Arial"/>
          <w:sz w:val="20"/>
          <w:szCs w:val="20"/>
        </w:rPr>
        <w:t>cloud</w:t>
      </w:r>
      <w:proofErr w:type="spellEnd"/>
      <w:r w:rsidR="005A2D00" w:rsidRPr="005A2D00">
        <w:rPr>
          <w:rFonts w:ascii="Calibri" w:hAnsi="Calibri" w:cs="Arial"/>
          <w:sz w:val="20"/>
          <w:szCs w:val="20"/>
        </w:rPr>
        <w:t xml:space="preserve"> Oracle </w:t>
      </w:r>
      <w:proofErr w:type="spellStart"/>
      <w:r w:rsidR="005A2D00" w:rsidRPr="005A2D00">
        <w:rPr>
          <w:rFonts w:ascii="Calibri" w:hAnsi="Calibri" w:cs="Arial"/>
          <w:sz w:val="20"/>
          <w:szCs w:val="20"/>
        </w:rPr>
        <w:t>Paas</w:t>
      </w:r>
      <w:proofErr w:type="spellEnd"/>
      <w:r w:rsidR="005A2D00" w:rsidRPr="005A2D00">
        <w:rPr>
          <w:rFonts w:ascii="Calibri" w:hAnsi="Calibri" w:cs="Arial"/>
          <w:sz w:val="20"/>
          <w:szCs w:val="20"/>
        </w:rPr>
        <w:t>; 3) servizi di supporto specialistico Oracle</w:t>
      </w:r>
      <w:r w:rsidR="00C9135E">
        <w:rPr>
          <w:rFonts w:ascii="Calibri" w:hAnsi="Calibri" w:cs="Arial"/>
          <w:sz w:val="20"/>
          <w:szCs w:val="20"/>
        </w:rPr>
        <w:t>,</w:t>
      </w:r>
      <w:r w:rsidR="005A2D00" w:rsidRPr="005A2D00">
        <w:rPr>
          <w:rFonts w:ascii="Calibri" w:hAnsi="Calibri" w:cs="Arial"/>
          <w:sz w:val="20"/>
          <w:szCs w:val="20"/>
        </w:rPr>
        <w:t xml:space="preserve"> </w:t>
      </w:r>
      <w:r w:rsidRPr="005A2D00">
        <w:rPr>
          <w:rFonts w:ascii="Calibri" w:hAnsi="Calibri" w:cs="Arial"/>
          <w:sz w:val="20"/>
          <w:szCs w:val="20"/>
        </w:rPr>
        <w:t>indicare qual è il fatturato annuo medio realizzato dall’Azienda nell’ultimo biennio sia nel mercato Italiano che nello specifico mercato</w:t>
      </w:r>
      <w:r w:rsidR="005A2D00" w:rsidRPr="005A2D00">
        <w:rPr>
          <w:rFonts w:ascii="Calibri" w:hAnsi="Calibri" w:cs="Arial"/>
          <w:sz w:val="20"/>
          <w:szCs w:val="20"/>
        </w:rPr>
        <w:t xml:space="preserve">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7C872FAE" w14:textId="77777777" w:rsidTr="00DE554B">
        <w:trPr>
          <w:trHeight w:val="1824"/>
        </w:trPr>
        <w:tc>
          <w:tcPr>
            <w:tcW w:w="8494" w:type="dxa"/>
            <w:shd w:val="clear" w:color="auto" w:fill="F2F2F2" w:themeFill="background1" w:themeFillShade="F2"/>
          </w:tcPr>
          <w:p w14:paraId="231BCCA9" w14:textId="77777777" w:rsidR="00132904" w:rsidRPr="00402B52" w:rsidRDefault="00132904" w:rsidP="00402B52">
            <w:pPr>
              <w:jc w:val="both"/>
              <w:rPr>
                <w:rFonts w:asciiTheme="minorHAnsi" w:hAnsiTheme="minorHAnsi" w:cs="Arial"/>
                <w:bCs/>
                <w:sz w:val="20"/>
                <w:szCs w:val="20"/>
              </w:rPr>
            </w:pPr>
          </w:p>
        </w:tc>
      </w:tr>
    </w:tbl>
    <w:p w14:paraId="693D2091" w14:textId="77777777" w:rsidR="00132904" w:rsidRDefault="00132904" w:rsidP="00132904">
      <w:pPr>
        <w:spacing w:line="360" w:lineRule="auto"/>
        <w:jc w:val="both"/>
        <w:rPr>
          <w:rFonts w:ascii="Calibri" w:hAnsi="Calibri" w:cs="Arial"/>
          <w:sz w:val="20"/>
          <w:szCs w:val="20"/>
        </w:rPr>
      </w:pPr>
    </w:p>
    <w:p w14:paraId="69174C57" w14:textId="77777777" w:rsidR="00C50638" w:rsidRPr="00525622" w:rsidRDefault="00F16EDA" w:rsidP="005A2D00">
      <w:pPr>
        <w:numPr>
          <w:ilvl w:val="0"/>
          <w:numId w:val="5"/>
        </w:numPr>
        <w:spacing w:after="120" w:line="276" w:lineRule="auto"/>
        <w:jc w:val="both"/>
        <w:rPr>
          <w:rFonts w:ascii="Calibri" w:hAnsi="Calibri" w:cs="Arial"/>
          <w:sz w:val="20"/>
          <w:szCs w:val="20"/>
        </w:rPr>
      </w:pPr>
      <w:r w:rsidRPr="005A2D00">
        <w:rPr>
          <w:rFonts w:ascii="Calibri" w:hAnsi="Calibri" w:cs="Arial"/>
          <w:sz w:val="20"/>
          <w:szCs w:val="20"/>
        </w:rPr>
        <w:t xml:space="preserve">In relazione a quanto compreso nell’oggetto dell’iniziativa 1) servizi </w:t>
      </w:r>
      <w:proofErr w:type="spellStart"/>
      <w:r w:rsidRPr="005A2D00">
        <w:rPr>
          <w:rFonts w:ascii="Calibri" w:hAnsi="Calibri" w:cs="Arial"/>
          <w:sz w:val="20"/>
          <w:szCs w:val="20"/>
        </w:rPr>
        <w:t>cloud</w:t>
      </w:r>
      <w:proofErr w:type="spellEnd"/>
      <w:r w:rsidRPr="005A2D00">
        <w:rPr>
          <w:rFonts w:ascii="Calibri" w:hAnsi="Calibri" w:cs="Arial"/>
          <w:sz w:val="20"/>
          <w:szCs w:val="20"/>
        </w:rPr>
        <w:t xml:space="preserve"> Oracle </w:t>
      </w:r>
      <w:proofErr w:type="spellStart"/>
      <w:r w:rsidRPr="005A2D00">
        <w:rPr>
          <w:rFonts w:ascii="Calibri" w:hAnsi="Calibri" w:cs="Arial"/>
          <w:sz w:val="20"/>
          <w:szCs w:val="20"/>
        </w:rPr>
        <w:t>Saas</w:t>
      </w:r>
      <w:proofErr w:type="spellEnd"/>
      <w:r>
        <w:rPr>
          <w:rFonts w:ascii="Calibri" w:hAnsi="Calibri" w:cs="Arial"/>
          <w:sz w:val="20"/>
          <w:szCs w:val="20"/>
        </w:rPr>
        <w:t xml:space="preserve"> con opzione customer2cloud</w:t>
      </w:r>
      <w:r w:rsidRPr="005A2D00">
        <w:rPr>
          <w:rFonts w:ascii="Calibri" w:hAnsi="Calibri" w:cs="Arial"/>
          <w:sz w:val="20"/>
          <w:szCs w:val="20"/>
        </w:rPr>
        <w:t xml:space="preserve">; 2) servizi </w:t>
      </w:r>
      <w:proofErr w:type="spellStart"/>
      <w:r w:rsidRPr="005A2D00">
        <w:rPr>
          <w:rFonts w:ascii="Calibri" w:hAnsi="Calibri" w:cs="Arial"/>
          <w:sz w:val="20"/>
          <w:szCs w:val="20"/>
        </w:rPr>
        <w:t>cloud</w:t>
      </w:r>
      <w:proofErr w:type="spellEnd"/>
      <w:r w:rsidRPr="005A2D00">
        <w:rPr>
          <w:rFonts w:ascii="Calibri" w:hAnsi="Calibri" w:cs="Arial"/>
          <w:sz w:val="20"/>
          <w:szCs w:val="20"/>
        </w:rPr>
        <w:t xml:space="preserve"> Oracle </w:t>
      </w:r>
      <w:proofErr w:type="spellStart"/>
      <w:r w:rsidRPr="005A2D00">
        <w:rPr>
          <w:rFonts w:ascii="Calibri" w:hAnsi="Calibri" w:cs="Arial"/>
          <w:sz w:val="20"/>
          <w:szCs w:val="20"/>
        </w:rPr>
        <w:t>Paas</w:t>
      </w:r>
      <w:proofErr w:type="spellEnd"/>
      <w:r>
        <w:rPr>
          <w:rFonts w:ascii="Calibri" w:hAnsi="Calibri" w:cs="Arial"/>
          <w:sz w:val="20"/>
          <w:szCs w:val="20"/>
        </w:rPr>
        <w:t xml:space="preserve"> con opzione ULA/PULA2cloud</w:t>
      </w:r>
      <w:r w:rsidRPr="005A2D00">
        <w:rPr>
          <w:rFonts w:ascii="Calibri" w:hAnsi="Calibri" w:cs="Arial"/>
          <w:sz w:val="20"/>
          <w:szCs w:val="20"/>
        </w:rPr>
        <w:t>; 3) servizi di supporto specialistico Oracle</w:t>
      </w:r>
      <w:r>
        <w:rPr>
          <w:rFonts w:ascii="Calibri" w:hAnsi="Calibri" w:cs="Arial"/>
          <w:sz w:val="20"/>
          <w:szCs w:val="20"/>
        </w:rPr>
        <w:t xml:space="preserve"> con accesso diretto ai laboratori di sviluppo del produttore</w:t>
      </w:r>
      <w:r w:rsidR="00C50638"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00C50638" w:rsidRPr="00C23478">
        <w:rPr>
          <w:rFonts w:ascii="Calibri" w:hAnsi="Calibri" w:cs="Arial"/>
          <w:sz w:val="20"/>
          <w:szCs w:val="20"/>
        </w:rPr>
        <w:t>, (</w:t>
      </w:r>
      <w:r w:rsidR="00C50638" w:rsidRPr="00525622">
        <w:rPr>
          <w:rFonts w:ascii="Calibri" w:hAnsi="Calibri" w:cs="Arial"/>
          <w:sz w:val="20"/>
          <w:szCs w:val="20"/>
        </w:rPr>
        <w:t xml:space="preserve">vendita diretta, distributori, </w:t>
      </w:r>
      <w:proofErr w:type="spellStart"/>
      <w:r w:rsidR="00C50638" w:rsidRPr="00525622">
        <w:rPr>
          <w:rFonts w:ascii="Calibri" w:hAnsi="Calibri" w:cs="Arial"/>
          <w:sz w:val="20"/>
          <w:szCs w:val="20"/>
        </w:rPr>
        <w:t>retail</w:t>
      </w:r>
      <w:proofErr w:type="spellEnd"/>
      <w:r w:rsidR="00C50638" w:rsidRPr="00525622">
        <w:rPr>
          <w:rFonts w:ascii="Calibri" w:hAnsi="Calibri" w:cs="Arial"/>
          <w:sz w:val="20"/>
          <w:szCs w:val="20"/>
        </w:rPr>
        <w:t xml:space="preserve"> ecc.).</w:t>
      </w:r>
      <w:r w:rsidR="00C50638">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8C5C5BF" w14:textId="77777777" w:rsidTr="00DE554B">
        <w:trPr>
          <w:trHeight w:val="1824"/>
        </w:trPr>
        <w:tc>
          <w:tcPr>
            <w:tcW w:w="8494" w:type="dxa"/>
            <w:shd w:val="clear" w:color="auto" w:fill="F2F2F2" w:themeFill="background1" w:themeFillShade="F2"/>
          </w:tcPr>
          <w:p w14:paraId="3DD89480" w14:textId="77777777" w:rsidR="00132904" w:rsidRPr="00402B52" w:rsidRDefault="00132904" w:rsidP="00402B52">
            <w:pPr>
              <w:jc w:val="both"/>
              <w:rPr>
                <w:rFonts w:asciiTheme="minorHAnsi" w:hAnsiTheme="minorHAnsi" w:cs="Arial"/>
                <w:bCs/>
                <w:sz w:val="20"/>
                <w:szCs w:val="20"/>
              </w:rPr>
            </w:pPr>
          </w:p>
        </w:tc>
      </w:tr>
    </w:tbl>
    <w:p w14:paraId="164002A9" w14:textId="77777777" w:rsidR="00132904" w:rsidRDefault="00132904" w:rsidP="00132904">
      <w:pPr>
        <w:spacing w:line="360" w:lineRule="auto"/>
        <w:jc w:val="both"/>
        <w:rPr>
          <w:rFonts w:ascii="Calibri" w:hAnsi="Calibri" w:cs="Arial"/>
          <w:sz w:val="20"/>
          <w:szCs w:val="20"/>
        </w:rPr>
      </w:pPr>
    </w:p>
    <w:p w14:paraId="30B2D1CE" w14:textId="77777777" w:rsidR="00EB536E" w:rsidRPr="00C43BE7" w:rsidRDefault="00170448" w:rsidP="005A2D00">
      <w:pPr>
        <w:numPr>
          <w:ilvl w:val="0"/>
          <w:numId w:val="5"/>
        </w:numPr>
        <w:spacing w:after="120" w:line="276" w:lineRule="auto"/>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5A2D00">
        <w:rPr>
          <w:rFonts w:ascii="Calibri" w:hAnsi="Calibri" w:cs="Arial"/>
          <w:sz w:val="20"/>
          <w:szCs w:val="20"/>
        </w:rPr>
        <w:t xml:space="preserve">uno dei seguenti servizi: </w:t>
      </w:r>
      <w:r w:rsidR="00F16EDA" w:rsidRPr="005A2D00">
        <w:rPr>
          <w:rFonts w:ascii="Calibri" w:hAnsi="Calibri" w:cs="Arial"/>
          <w:sz w:val="20"/>
          <w:szCs w:val="20"/>
        </w:rPr>
        <w:t xml:space="preserve">1) servizi </w:t>
      </w:r>
      <w:proofErr w:type="spellStart"/>
      <w:r w:rsidR="00F16EDA" w:rsidRPr="005A2D00">
        <w:rPr>
          <w:rFonts w:ascii="Calibri" w:hAnsi="Calibri" w:cs="Arial"/>
          <w:sz w:val="20"/>
          <w:szCs w:val="20"/>
        </w:rPr>
        <w:t>cloud</w:t>
      </w:r>
      <w:proofErr w:type="spellEnd"/>
      <w:r w:rsidR="00F16EDA" w:rsidRPr="005A2D00">
        <w:rPr>
          <w:rFonts w:ascii="Calibri" w:hAnsi="Calibri" w:cs="Arial"/>
          <w:sz w:val="20"/>
          <w:szCs w:val="20"/>
        </w:rPr>
        <w:t xml:space="preserve"> Oracle </w:t>
      </w:r>
      <w:proofErr w:type="spellStart"/>
      <w:r w:rsidR="00F16EDA" w:rsidRPr="005A2D00">
        <w:rPr>
          <w:rFonts w:ascii="Calibri" w:hAnsi="Calibri" w:cs="Arial"/>
          <w:sz w:val="20"/>
          <w:szCs w:val="20"/>
        </w:rPr>
        <w:t>Saas</w:t>
      </w:r>
      <w:proofErr w:type="spellEnd"/>
      <w:r w:rsidR="00F16EDA">
        <w:rPr>
          <w:rFonts w:ascii="Calibri" w:hAnsi="Calibri" w:cs="Arial"/>
          <w:sz w:val="20"/>
          <w:szCs w:val="20"/>
        </w:rPr>
        <w:t xml:space="preserve"> con opzione customer2cloud</w:t>
      </w:r>
      <w:r w:rsidR="00F16EDA" w:rsidRPr="005A2D00">
        <w:rPr>
          <w:rFonts w:ascii="Calibri" w:hAnsi="Calibri" w:cs="Arial"/>
          <w:sz w:val="20"/>
          <w:szCs w:val="20"/>
        </w:rPr>
        <w:t xml:space="preserve">; 2) servizi </w:t>
      </w:r>
      <w:proofErr w:type="spellStart"/>
      <w:r w:rsidR="00F16EDA" w:rsidRPr="005A2D00">
        <w:rPr>
          <w:rFonts w:ascii="Calibri" w:hAnsi="Calibri" w:cs="Arial"/>
          <w:sz w:val="20"/>
          <w:szCs w:val="20"/>
        </w:rPr>
        <w:t>cloud</w:t>
      </w:r>
      <w:proofErr w:type="spellEnd"/>
      <w:r w:rsidR="00F16EDA" w:rsidRPr="005A2D00">
        <w:rPr>
          <w:rFonts w:ascii="Calibri" w:hAnsi="Calibri" w:cs="Arial"/>
          <w:sz w:val="20"/>
          <w:szCs w:val="20"/>
        </w:rPr>
        <w:t xml:space="preserve"> Oracle </w:t>
      </w:r>
      <w:proofErr w:type="spellStart"/>
      <w:r w:rsidR="00F16EDA" w:rsidRPr="005A2D00">
        <w:rPr>
          <w:rFonts w:ascii="Calibri" w:hAnsi="Calibri" w:cs="Arial"/>
          <w:sz w:val="20"/>
          <w:szCs w:val="20"/>
        </w:rPr>
        <w:t>Paas</w:t>
      </w:r>
      <w:proofErr w:type="spellEnd"/>
      <w:r w:rsidR="00F16EDA">
        <w:rPr>
          <w:rFonts w:ascii="Calibri" w:hAnsi="Calibri" w:cs="Arial"/>
          <w:sz w:val="20"/>
          <w:szCs w:val="20"/>
        </w:rPr>
        <w:t xml:space="preserve"> con opzione ULA/PULA2cloud</w:t>
      </w:r>
      <w:r w:rsidR="00F16EDA" w:rsidRPr="005A2D00">
        <w:rPr>
          <w:rFonts w:ascii="Calibri" w:hAnsi="Calibri" w:cs="Arial"/>
          <w:sz w:val="20"/>
          <w:szCs w:val="20"/>
        </w:rPr>
        <w:t>; 3) servizi di supporto specialistico Oracle</w:t>
      </w:r>
      <w:r w:rsidR="00F16EDA">
        <w:rPr>
          <w:rFonts w:ascii="Calibri" w:hAnsi="Calibri" w:cs="Arial"/>
          <w:sz w:val="20"/>
          <w:szCs w:val="20"/>
        </w:rPr>
        <w:t xml:space="preserve"> con accesso diretto ai laboratori di sviluppo del produttore</w:t>
      </w:r>
      <w:r w:rsidR="00EB536E" w:rsidRPr="00074BD2">
        <w:rPr>
          <w:rFonts w:ascii="Calibri" w:hAnsi="Calibri" w:cs="Arial"/>
          <w:sz w:val="20"/>
          <w:szCs w:val="20"/>
        </w:rPr>
        <w:t>,</w:t>
      </w:r>
      <w:r w:rsidR="00EB536E">
        <w:rPr>
          <w:rFonts w:ascii="Calibri" w:hAnsi="Calibri" w:cs="Arial"/>
          <w:sz w:val="20"/>
          <w:szCs w:val="20"/>
        </w:rPr>
        <w:t xml:space="preserve">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261D1A41" w14:textId="77777777" w:rsidTr="00DE554B">
        <w:trPr>
          <w:trHeight w:val="1824"/>
        </w:trPr>
        <w:tc>
          <w:tcPr>
            <w:tcW w:w="8494" w:type="dxa"/>
            <w:shd w:val="clear" w:color="auto" w:fill="F2F2F2" w:themeFill="background1" w:themeFillShade="F2"/>
          </w:tcPr>
          <w:p w14:paraId="57279F74" w14:textId="77777777" w:rsidR="00132904" w:rsidRPr="00402B52" w:rsidRDefault="00132904" w:rsidP="00402B52">
            <w:pPr>
              <w:jc w:val="both"/>
              <w:rPr>
                <w:rFonts w:asciiTheme="minorHAnsi" w:hAnsiTheme="minorHAnsi" w:cs="Arial"/>
                <w:bCs/>
                <w:sz w:val="20"/>
                <w:szCs w:val="20"/>
              </w:rPr>
            </w:pPr>
          </w:p>
        </w:tc>
      </w:tr>
    </w:tbl>
    <w:p w14:paraId="458505C8" w14:textId="77777777" w:rsidR="00525622" w:rsidRDefault="00525622" w:rsidP="00A71B54">
      <w:pPr>
        <w:jc w:val="both"/>
        <w:rPr>
          <w:rFonts w:ascii="Calibri" w:hAnsi="Calibri"/>
          <w:sz w:val="20"/>
          <w:szCs w:val="20"/>
        </w:rPr>
      </w:pPr>
    </w:p>
    <w:p w14:paraId="1B3B9F27" w14:textId="77777777" w:rsidR="00B0607F" w:rsidRDefault="00B0607F" w:rsidP="00C50638">
      <w:pPr>
        <w:jc w:val="both"/>
        <w:rPr>
          <w:rFonts w:ascii="Calibri" w:hAnsi="Calibri"/>
          <w:sz w:val="20"/>
          <w:szCs w:val="20"/>
        </w:rPr>
      </w:pPr>
    </w:p>
    <w:p w14:paraId="5955584F" w14:textId="77777777" w:rsidR="008425F2" w:rsidRDefault="008425F2">
      <w:pPr>
        <w:jc w:val="both"/>
        <w:rPr>
          <w:rFonts w:ascii="Calibri" w:hAnsi="Calibri"/>
          <w:sz w:val="20"/>
          <w:szCs w:val="20"/>
        </w:rPr>
      </w:pPr>
    </w:p>
    <w:p w14:paraId="3A29B0EE" w14:textId="43018C00"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C757951" w14:textId="66562BE3" w:rsidR="00FD3529" w:rsidRDefault="00FD3529" w:rsidP="002F634E">
      <w:pPr>
        <w:jc w:val="both"/>
        <w:rPr>
          <w:rFonts w:ascii="Trebuchet MS" w:hAnsi="Trebuchet MS" w:cs="Arial"/>
          <w:i/>
          <w:color w:val="0000FF"/>
          <w:sz w:val="20"/>
          <w:szCs w:val="20"/>
        </w:rPr>
      </w:pPr>
    </w:p>
    <w:p w14:paraId="71BC16FA"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0BC786A3" w14:textId="77777777" w:rsidTr="00DE55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CA6D14" w14:textId="77777777" w:rsidR="00FD3529" w:rsidRPr="00BB4433" w:rsidRDefault="00FD3529" w:rsidP="00DE554B">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052D691E" w14:textId="77777777" w:rsidTr="00DE554B">
        <w:tc>
          <w:tcPr>
            <w:tcW w:w="2822" w:type="dxa"/>
            <w:tcBorders>
              <w:top w:val="single" w:sz="4" w:space="0" w:color="FFFFFF" w:themeColor="background1"/>
            </w:tcBorders>
            <w:shd w:val="clear" w:color="auto" w:fill="auto"/>
          </w:tcPr>
          <w:p w14:paraId="0084E40D" w14:textId="77777777" w:rsidR="00FD3529" w:rsidRPr="00B86271" w:rsidRDefault="00FD3529" w:rsidP="00DE554B">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14:paraId="7F94C4E8" w14:textId="77777777" w:rsidTr="00DE554B">
        <w:trPr>
          <w:trHeight w:val="413"/>
        </w:trPr>
        <w:tc>
          <w:tcPr>
            <w:tcW w:w="2822" w:type="dxa"/>
            <w:shd w:val="clear" w:color="auto" w:fill="auto"/>
          </w:tcPr>
          <w:p w14:paraId="3A2665B0" w14:textId="77777777" w:rsidR="00FD3529" w:rsidRDefault="00FD3529" w:rsidP="00DE554B">
            <w:pPr>
              <w:ind w:left="284"/>
              <w:jc w:val="both"/>
              <w:rPr>
                <w:rFonts w:ascii="Trebuchet MS" w:hAnsi="Trebuchet MS" w:cs="Arial"/>
                <w:bCs/>
                <w:i/>
                <w:sz w:val="20"/>
                <w:szCs w:val="20"/>
                <w:highlight w:val="yellow"/>
              </w:rPr>
            </w:pPr>
          </w:p>
          <w:p w14:paraId="6E17E257" w14:textId="77777777" w:rsidR="00FD3529" w:rsidRPr="00132242" w:rsidRDefault="00FD3529" w:rsidP="00DE554B">
            <w:pPr>
              <w:ind w:left="284"/>
              <w:jc w:val="both"/>
              <w:rPr>
                <w:rFonts w:ascii="Trebuchet MS" w:hAnsi="Trebuchet MS" w:cs="Arial"/>
                <w:bCs/>
                <w:i/>
                <w:sz w:val="20"/>
                <w:szCs w:val="20"/>
                <w:highlight w:val="yellow"/>
              </w:rPr>
            </w:pPr>
          </w:p>
          <w:p w14:paraId="2553168C" w14:textId="77777777" w:rsidR="00FD3529" w:rsidRPr="00132242" w:rsidRDefault="00FD3529" w:rsidP="00DE554B">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9530680" w14:textId="77777777" w:rsidR="00FD3529" w:rsidRDefault="00FD3529">
      <w:pPr>
        <w:jc w:val="both"/>
        <w:rPr>
          <w:rFonts w:ascii="Calibri" w:hAnsi="Calibri"/>
          <w:sz w:val="20"/>
          <w:szCs w:val="20"/>
        </w:rPr>
      </w:pPr>
    </w:p>
    <w:sectPr w:rsidR="00FD3529"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B375" w14:textId="77777777" w:rsidR="00130FD6" w:rsidRDefault="00130FD6">
      <w:r>
        <w:separator/>
      </w:r>
    </w:p>
  </w:endnote>
  <w:endnote w:type="continuationSeparator" w:id="0">
    <w:p w14:paraId="17D75EA0" w14:textId="77777777" w:rsidR="00130FD6" w:rsidRDefault="0013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1971"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437EEC5A"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EDCA" w14:textId="77777777" w:rsidR="0026504F" w:rsidRPr="00427406" w:rsidRDefault="00F16EDA" w:rsidP="0026504F">
    <w:pPr>
      <w:pStyle w:val="Pidipagina"/>
      <w:pBdr>
        <w:top w:val="single" w:sz="4" w:space="1" w:color="auto"/>
      </w:pBdr>
      <w:rPr>
        <w:rFonts w:asciiTheme="minorHAnsi" w:hAnsiTheme="minorHAnsi"/>
        <w:iCs/>
        <w:color w:val="808080" w:themeColor="background1" w:themeShade="80"/>
        <w:sz w:val="16"/>
        <w:szCs w:val="16"/>
      </w:rPr>
    </w:pPr>
    <w:r w:rsidRPr="00427406">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DE344CB" wp14:editId="22D305BA">
              <wp:simplePos x="0" y="0"/>
              <wp:positionH relativeFrom="column">
                <wp:posOffset>4711237</wp:posOffset>
              </wp:positionH>
              <wp:positionV relativeFrom="paragraph">
                <wp:posOffset>21797</wp:posOffset>
              </wp:positionV>
              <wp:extent cx="821493"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93" cy="274320"/>
                      </a:xfrm>
                      <a:prstGeom prst="rect">
                        <a:avLst/>
                      </a:prstGeom>
                      <a:solidFill>
                        <a:srgbClr val="FFFFFF"/>
                      </a:solidFill>
                      <a:ln w="9525">
                        <a:noFill/>
                        <a:miter lim="800000"/>
                        <a:headEnd/>
                        <a:tailEnd/>
                      </a:ln>
                    </wps:spPr>
                    <wps:txbx>
                      <w:txbxContent>
                        <w:p w14:paraId="2C360C61" w14:textId="7A7B9B6C"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0A1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0A1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3085B5F0"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344CB" id="_x0000_t202" coordsize="21600,21600" o:spt="202" path="m,l,21600r21600,l21600,xe">
              <v:stroke joinstyle="miter"/>
              <v:path gradientshapeok="t" o:connecttype="rect"/>
            </v:shapetype>
            <v:shape id="Casella di testo 3" o:spid="_x0000_s1026" type="#_x0000_t202" style="position:absolute;margin-left:370.95pt;margin-top:1.7pt;width:64.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" stroked="f">
              <v:textbox>
                <w:txbxContent>
                  <w:p w14:paraId="2C360C61" w14:textId="7A7B9B6C"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0A1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0A1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3085B5F0" w14:textId="77777777" w:rsidR="00B86271" w:rsidRDefault="00B86271" w:rsidP="00B86271"/>
                </w:txbxContent>
              </v:textbox>
            </v:shape>
          </w:pict>
        </mc:Fallback>
      </mc:AlternateContent>
    </w:r>
    <w:r w:rsidR="000547D2" w:rsidRPr="00427406">
      <w:rPr>
        <w:rFonts w:asciiTheme="minorHAnsi" w:hAnsiTheme="minorHAnsi"/>
        <w:iCs/>
        <w:color w:val="808080" w:themeColor="background1" w:themeShade="80"/>
        <w:sz w:val="16"/>
        <w:szCs w:val="16"/>
      </w:rPr>
      <w:t xml:space="preserve">Consip S.p.A. - </w:t>
    </w:r>
    <w:r w:rsidR="0026504F" w:rsidRPr="00427406">
      <w:rPr>
        <w:rFonts w:asciiTheme="minorHAnsi" w:hAnsiTheme="minorHAnsi"/>
        <w:iCs/>
        <w:color w:val="808080" w:themeColor="background1" w:themeShade="80"/>
        <w:sz w:val="16"/>
        <w:szCs w:val="16"/>
      </w:rPr>
      <w:t xml:space="preserve">Consultazione di mercato per </w:t>
    </w:r>
    <w:r w:rsidR="00420A6A" w:rsidRPr="00427406">
      <w:rPr>
        <w:rFonts w:asciiTheme="minorHAnsi" w:hAnsiTheme="minorHAnsi"/>
        <w:iCs/>
        <w:color w:val="808080" w:themeColor="background1" w:themeShade="80"/>
        <w:sz w:val="16"/>
        <w:szCs w:val="16"/>
      </w:rPr>
      <w:t xml:space="preserve">l’acquisizione di servizi </w:t>
    </w:r>
    <w:proofErr w:type="spellStart"/>
    <w:r w:rsidR="00420A6A" w:rsidRPr="00427406">
      <w:rPr>
        <w:rFonts w:asciiTheme="minorHAnsi" w:hAnsiTheme="minorHAnsi"/>
        <w:iCs/>
        <w:color w:val="808080" w:themeColor="background1" w:themeShade="80"/>
        <w:sz w:val="16"/>
        <w:szCs w:val="16"/>
      </w:rPr>
      <w:t>cloud</w:t>
    </w:r>
    <w:proofErr w:type="spellEnd"/>
    <w:r w:rsidR="00420A6A" w:rsidRPr="00427406">
      <w:rPr>
        <w:rFonts w:asciiTheme="minorHAnsi" w:hAnsiTheme="minorHAnsi"/>
        <w:iCs/>
        <w:color w:val="808080" w:themeColor="background1" w:themeShade="80"/>
        <w:sz w:val="16"/>
        <w:szCs w:val="16"/>
      </w:rPr>
      <w:t xml:space="preserve"> Oracle e del relativo supporto specialistico per </w:t>
    </w:r>
    <w:proofErr w:type="spellStart"/>
    <w:r w:rsidR="00420A6A" w:rsidRPr="00427406">
      <w:rPr>
        <w:rFonts w:asciiTheme="minorHAnsi" w:hAnsiTheme="minorHAnsi"/>
        <w:iCs/>
        <w:color w:val="808080" w:themeColor="background1" w:themeShade="80"/>
        <w:sz w:val="16"/>
        <w:szCs w:val="16"/>
      </w:rPr>
      <w:t>Sogei</w:t>
    </w:r>
    <w:proofErr w:type="spellEnd"/>
    <w:r w:rsidR="00420A6A" w:rsidRPr="00427406">
      <w:rPr>
        <w:rFonts w:asciiTheme="minorHAnsi" w:hAnsiTheme="minorHAnsi"/>
        <w:iCs/>
        <w:color w:val="808080" w:themeColor="background1" w:themeShade="80"/>
        <w:sz w:val="16"/>
        <w:szCs w:val="16"/>
      </w:rPr>
      <w:t xml:space="preserve"> e le Agenzie della Fiscalità</w:t>
    </w:r>
  </w:p>
  <w:p w14:paraId="54762856"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53F64FCC"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2B6015CF"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203171BB" w14:textId="77777777" w:rsidR="00D15CA3" w:rsidRPr="0026504F" w:rsidRDefault="00D15CA3" w:rsidP="00503ADF">
    <w:pPr>
      <w:pStyle w:val="Pidipagina"/>
      <w:ind w:right="360"/>
      <w:jc w:val="both"/>
      <w:rPr>
        <w:rFonts w:ascii="Calibri" w:hAnsi="Calibri" w:cs="Arial"/>
        <w:sz w:val="16"/>
        <w:szCs w:val="16"/>
      </w:rPr>
    </w:pPr>
  </w:p>
  <w:p w14:paraId="23E4CA02"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EB23" w14:textId="77777777"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31674BB9"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62D0BFE9"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427406">
      <w:rPr>
        <w:rFonts w:ascii="Calibri" w:hAnsi="Calibri"/>
        <w:color w:val="808080"/>
        <w:sz w:val="16"/>
        <w:szCs w:val="16"/>
      </w:rPr>
      <w:t>www.consip.it</w:t>
    </w:r>
  </w:p>
  <w:p w14:paraId="7D5F4753"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4B403AC1" w14:textId="77777777"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5C4CD" w14:textId="77777777" w:rsidR="00130FD6" w:rsidRDefault="00130FD6">
      <w:r>
        <w:separator/>
      </w:r>
    </w:p>
  </w:footnote>
  <w:footnote w:type="continuationSeparator" w:id="0">
    <w:p w14:paraId="111681A7" w14:textId="77777777" w:rsidR="00130FD6" w:rsidRDefault="0013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7D70" w14:textId="77777777" w:rsidR="00CB7A9A" w:rsidRDefault="001748C3">
    <w:pPr>
      <w:pStyle w:val="Intestazione"/>
    </w:pPr>
    <w:r>
      <w:rPr>
        <w:noProof/>
      </w:rPr>
      <w:drawing>
        <wp:anchor distT="0" distB="0" distL="114300" distR="114300" simplePos="0" relativeHeight="251654144" behindDoc="1" locked="0" layoutInCell="1" allowOverlap="1" wp14:anchorId="00B264CD" wp14:editId="56D1B60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39" name="Immagine 39"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6944" w14:textId="77777777" w:rsidR="00CB7A9A" w:rsidRDefault="001748C3">
    <w:pPr>
      <w:pStyle w:val="Intestazione"/>
    </w:pPr>
    <w:r>
      <w:rPr>
        <w:noProof/>
      </w:rPr>
      <w:drawing>
        <wp:anchor distT="0" distB="0" distL="114300" distR="114300" simplePos="0" relativeHeight="251656192" behindDoc="1" locked="0" layoutInCell="1" allowOverlap="1" wp14:anchorId="46423005" wp14:editId="74391B8F">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40" name="Immagine 40"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B512" w14:textId="77777777" w:rsidR="00CB7A9A" w:rsidRDefault="001748C3">
    <w:pPr>
      <w:pStyle w:val="Intestazione"/>
    </w:pPr>
    <w:r>
      <w:rPr>
        <w:noProof/>
      </w:rPr>
      <w:drawing>
        <wp:anchor distT="0" distB="0" distL="114300" distR="114300" simplePos="0" relativeHeight="251655168" behindDoc="1" locked="0" layoutInCell="1" allowOverlap="1" wp14:anchorId="148F6C37" wp14:editId="5D3743EF">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1" name="Immagine 41"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604E"/>
    <w:multiLevelType w:val="hybridMultilevel"/>
    <w:tmpl w:val="F35EF93E"/>
    <w:lvl w:ilvl="0" w:tplc="E3C81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7360416"/>
    <w:multiLevelType w:val="hybridMultilevel"/>
    <w:tmpl w:val="C0644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4B7C2A"/>
    <w:multiLevelType w:val="hybridMultilevel"/>
    <w:tmpl w:val="225A4C64"/>
    <w:lvl w:ilvl="0" w:tplc="10F868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C06BF2"/>
    <w:multiLevelType w:val="hybridMultilevel"/>
    <w:tmpl w:val="35B81B1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3C470FE"/>
    <w:multiLevelType w:val="hybridMultilevel"/>
    <w:tmpl w:val="182A62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F1C5EEE"/>
    <w:multiLevelType w:val="hybridMultilevel"/>
    <w:tmpl w:val="E8E06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0"/>
  </w:num>
  <w:num w:numId="15">
    <w:abstractNumId w:val="6"/>
  </w:num>
  <w:num w:numId="16">
    <w:abstractNumId w:val="3"/>
  </w:num>
  <w:num w:numId="17">
    <w:abstractNumId w:val="2"/>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hideSpellingErrors/>
  <w:hideGrammaticalError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5A3E"/>
    <w:rsid w:val="0004002A"/>
    <w:rsid w:val="00043028"/>
    <w:rsid w:val="00051247"/>
    <w:rsid w:val="00052B83"/>
    <w:rsid w:val="000547D2"/>
    <w:rsid w:val="0005499E"/>
    <w:rsid w:val="0005710D"/>
    <w:rsid w:val="00062AEF"/>
    <w:rsid w:val="00066CC4"/>
    <w:rsid w:val="00071F4C"/>
    <w:rsid w:val="000730CA"/>
    <w:rsid w:val="00073A0B"/>
    <w:rsid w:val="00074BD2"/>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0FD6"/>
    <w:rsid w:val="00132904"/>
    <w:rsid w:val="001333DC"/>
    <w:rsid w:val="00135BB0"/>
    <w:rsid w:val="00140FA7"/>
    <w:rsid w:val="001445D4"/>
    <w:rsid w:val="00145859"/>
    <w:rsid w:val="00145C53"/>
    <w:rsid w:val="00146E16"/>
    <w:rsid w:val="0014768D"/>
    <w:rsid w:val="00152E32"/>
    <w:rsid w:val="001605B9"/>
    <w:rsid w:val="00161133"/>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22639"/>
    <w:rsid w:val="002410E1"/>
    <w:rsid w:val="00242CA8"/>
    <w:rsid w:val="002475B7"/>
    <w:rsid w:val="002519D9"/>
    <w:rsid w:val="0025439B"/>
    <w:rsid w:val="002552EF"/>
    <w:rsid w:val="002555D0"/>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3BE2"/>
    <w:rsid w:val="002C4C6E"/>
    <w:rsid w:val="002D0DD6"/>
    <w:rsid w:val="002D3A2E"/>
    <w:rsid w:val="002D3DC0"/>
    <w:rsid w:val="002D4F14"/>
    <w:rsid w:val="002E1BB6"/>
    <w:rsid w:val="002E6DC3"/>
    <w:rsid w:val="002F2184"/>
    <w:rsid w:val="002F634E"/>
    <w:rsid w:val="002F65FA"/>
    <w:rsid w:val="002F6CF6"/>
    <w:rsid w:val="003039B2"/>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3F6F9A"/>
    <w:rsid w:val="00402B52"/>
    <w:rsid w:val="0040521A"/>
    <w:rsid w:val="00407EBF"/>
    <w:rsid w:val="00411581"/>
    <w:rsid w:val="00412C47"/>
    <w:rsid w:val="00414F4A"/>
    <w:rsid w:val="00420A6A"/>
    <w:rsid w:val="00420B50"/>
    <w:rsid w:val="0042149E"/>
    <w:rsid w:val="004234F6"/>
    <w:rsid w:val="00427406"/>
    <w:rsid w:val="004348B4"/>
    <w:rsid w:val="00434C91"/>
    <w:rsid w:val="00443484"/>
    <w:rsid w:val="00444A91"/>
    <w:rsid w:val="0044576B"/>
    <w:rsid w:val="004478BB"/>
    <w:rsid w:val="004513D9"/>
    <w:rsid w:val="00460249"/>
    <w:rsid w:val="00460F71"/>
    <w:rsid w:val="00461922"/>
    <w:rsid w:val="00481A66"/>
    <w:rsid w:val="00486B8C"/>
    <w:rsid w:val="004956AA"/>
    <w:rsid w:val="004964E3"/>
    <w:rsid w:val="004A0AE2"/>
    <w:rsid w:val="004A271A"/>
    <w:rsid w:val="004A2F72"/>
    <w:rsid w:val="004A4368"/>
    <w:rsid w:val="004A4409"/>
    <w:rsid w:val="004A640B"/>
    <w:rsid w:val="004A70D0"/>
    <w:rsid w:val="004B14D3"/>
    <w:rsid w:val="004B50B7"/>
    <w:rsid w:val="004C2E2F"/>
    <w:rsid w:val="004C492F"/>
    <w:rsid w:val="004D2801"/>
    <w:rsid w:val="004E01B8"/>
    <w:rsid w:val="004E245E"/>
    <w:rsid w:val="004E6C39"/>
    <w:rsid w:val="004F2D2D"/>
    <w:rsid w:val="005007A0"/>
    <w:rsid w:val="00502BAA"/>
    <w:rsid w:val="00503ADF"/>
    <w:rsid w:val="00515940"/>
    <w:rsid w:val="005213CD"/>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2D00"/>
    <w:rsid w:val="005A3003"/>
    <w:rsid w:val="005B7939"/>
    <w:rsid w:val="005C16C9"/>
    <w:rsid w:val="005C6FCA"/>
    <w:rsid w:val="005E1CF1"/>
    <w:rsid w:val="005E567D"/>
    <w:rsid w:val="005F0D86"/>
    <w:rsid w:val="005F2BC2"/>
    <w:rsid w:val="005F5CC4"/>
    <w:rsid w:val="00606C5A"/>
    <w:rsid w:val="00611984"/>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4350"/>
    <w:rsid w:val="006B52EA"/>
    <w:rsid w:val="006B7CC3"/>
    <w:rsid w:val="006C0E01"/>
    <w:rsid w:val="006C5F95"/>
    <w:rsid w:val="006D6A5B"/>
    <w:rsid w:val="006E6B9B"/>
    <w:rsid w:val="006F2E39"/>
    <w:rsid w:val="007076F6"/>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7765E"/>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B4757"/>
    <w:rsid w:val="00AC2598"/>
    <w:rsid w:val="00AC5972"/>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40A16"/>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C3E"/>
    <w:rsid w:val="00BB6EEC"/>
    <w:rsid w:val="00BC4F24"/>
    <w:rsid w:val="00BC707A"/>
    <w:rsid w:val="00BD0441"/>
    <w:rsid w:val="00BD500B"/>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44036"/>
    <w:rsid w:val="00C50638"/>
    <w:rsid w:val="00C52CEB"/>
    <w:rsid w:val="00C56C33"/>
    <w:rsid w:val="00C66706"/>
    <w:rsid w:val="00C70CCF"/>
    <w:rsid w:val="00C72129"/>
    <w:rsid w:val="00C76496"/>
    <w:rsid w:val="00C7724D"/>
    <w:rsid w:val="00C83F3B"/>
    <w:rsid w:val="00C847C1"/>
    <w:rsid w:val="00C865CD"/>
    <w:rsid w:val="00C9135E"/>
    <w:rsid w:val="00C971BB"/>
    <w:rsid w:val="00CA3782"/>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63A90"/>
    <w:rsid w:val="00D73C90"/>
    <w:rsid w:val="00D741BC"/>
    <w:rsid w:val="00D906DF"/>
    <w:rsid w:val="00D91890"/>
    <w:rsid w:val="00D9407F"/>
    <w:rsid w:val="00D96158"/>
    <w:rsid w:val="00DB56EE"/>
    <w:rsid w:val="00DC624E"/>
    <w:rsid w:val="00DD32DE"/>
    <w:rsid w:val="00DD367E"/>
    <w:rsid w:val="00DD6771"/>
    <w:rsid w:val="00DE554B"/>
    <w:rsid w:val="00DF404F"/>
    <w:rsid w:val="00E0369C"/>
    <w:rsid w:val="00E109F7"/>
    <w:rsid w:val="00E1122B"/>
    <w:rsid w:val="00E11D09"/>
    <w:rsid w:val="00E203D3"/>
    <w:rsid w:val="00E2414A"/>
    <w:rsid w:val="00E33420"/>
    <w:rsid w:val="00E37ADF"/>
    <w:rsid w:val="00E4237D"/>
    <w:rsid w:val="00E42C16"/>
    <w:rsid w:val="00E42D66"/>
    <w:rsid w:val="00E616CD"/>
    <w:rsid w:val="00E62722"/>
    <w:rsid w:val="00E63961"/>
    <w:rsid w:val="00E6543C"/>
    <w:rsid w:val="00E65C33"/>
    <w:rsid w:val="00E66CB9"/>
    <w:rsid w:val="00E670E9"/>
    <w:rsid w:val="00E859F1"/>
    <w:rsid w:val="00E96A87"/>
    <w:rsid w:val="00E96BD0"/>
    <w:rsid w:val="00EB2EC3"/>
    <w:rsid w:val="00EB536E"/>
    <w:rsid w:val="00EC0CFD"/>
    <w:rsid w:val="00ED05BB"/>
    <w:rsid w:val="00ED089B"/>
    <w:rsid w:val="00ED1390"/>
    <w:rsid w:val="00ED37EB"/>
    <w:rsid w:val="00ED6D36"/>
    <w:rsid w:val="00EE320E"/>
    <w:rsid w:val="00EE3B83"/>
    <w:rsid w:val="00EF755E"/>
    <w:rsid w:val="00F16EDA"/>
    <w:rsid w:val="00F30921"/>
    <w:rsid w:val="00F51AE9"/>
    <w:rsid w:val="00F5630B"/>
    <w:rsid w:val="00F608BD"/>
    <w:rsid w:val="00F62C22"/>
    <w:rsid w:val="00F62F87"/>
    <w:rsid w:val="00F634DC"/>
    <w:rsid w:val="00F66F09"/>
    <w:rsid w:val="00F679BE"/>
    <w:rsid w:val="00F729D7"/>
    <w:rsid w:val="00F76836"/>
    <w:rsid w:val="00F80128"/>
    <w:rsid w:val="00F85E03"/>
    <w:rsid w:val="00F86F34"/>
    <w:rsid w:val="00F913CA"/>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0867">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668020408">
      <w:bodyDiv w:val="1"/>
      <w:marLeft w:val="0"/>
      <w:marRight w:val="0"/>
      <w:marTop w:val="0"/>
      <w:marBottom w:val="0"/>
      <w:divBdr>
        <w:top w:val="none" w:sz="0" w:space="0" w:color="auto"/>
        <w:left w:val="none" w:sz="0" w:space="0" w:color="auto"/>
        <w:bottom w:val="none" w:sz="0" w:space="0" w:color="auto"/>
        <w:right w:val="none" w:sz="0" w:space="0" w:color="auto"/>
      </w:divBdr>
    </w:div>
    <w:div w:id="730081398">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05690026">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22769962">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852406458">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B9B0-3ADE-4978-9693-395F5E96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2442</Words>
  <Characters>13921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2020-02-12T10:07:00Z</dcterms:created>
  <dcterms:modified xsi:type="dcterms:W3CDTF">2020-02-12T10:40:00Z</dcterms:modified>
</cp:coreProperties>
</file>